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D" w:rsidRDefault="001F2F24" w:rsidP="00726637">
      <w:pPr>
        <w:pStyle w:val="Cm"/>
        <w:spacing w:before="1200"/>
        <w:jc w:val="center"/>
        <w:rPr>
          <w:lang w:val="hu-HU"/>
        </w:rPr>
      </w:pPr>
      <w:r>
        <w:rPr>
          <w:lang w:val="hu-HU"/>
        </w:rPr>
        <w:t xml:space="preserve">A Villamosenergia-ipari </w:t>
      </w:r>
      <w:proofErr w:type="spellStart"/>
      <w:r>
        <w:rPr>
          <w:lang w:val="hu-HU"/>
        </w:rPr>
        <w:t>Alágazati</w:t>
      </w:r>
      <w:proofErr w:type="spellEnd"/>
      <w:r>
        <w:rPr>
          <w:lang w:val="hu-HU"/>
        </w:rPr>
        <w:t xml:space="preserve"> Párbeszéd Bizottság (VÁPB) állásfoglalása </w:t>
      </w:r>
      <w:r w:rsidR="009B6253">
        <w:rPr>
          <w:lang w:val="hu-HU"/>
        </w:rPr>
        <w:t>Az egészség és biztonság é</w:t>
      </w:r>
      <w:r>
        <w:rPr>
          <w:lang w:val="hu-HU"/>
        </w:rPr>
        <w:t>s képzés c. EU szintű megállapodás (Politikai Nyilatkozat)</w:t>
      </w:r>
      <w:r w:rsidR="00281603" w:rsidRPr="00281603">
        <w:rPr>
          <w:lang w:val="hu-HU"/>
        </w:rPr>
        <w:t xml:space="preserve"> hazai </w:t>
      </w:r>
      <w:r w:rsidR="00CE27D6">
        <w:rPr>
          <w:lang w:val="hu-HU"/>
        </w:rPr>
        <w:t xml:space="preserve">gyakorlati </w:t>
      </w:r>
      <w:r w:rsidR="00281603" w:rsidRPr="00281603">
        <w:rPr>
          <w:lang w:val="hu-HU"/>
        </w:rPr>
        <w:t>érvényesülésének elősegítése céljából</w:t>
      </w:r>
    </w:p>
    <w:p w:rsidR="008355A0" w:rsidRDefault="008355A0" w:rsidP="008355A0">
      <w:pPr>
        <w:rPr>
          <w:lang w:val="hu-HU"/>
        </w:rPr>
      </w:pPr>
    </w:p>
    <w:p w:rsidR="008355A0" w:rsidRDefault="008355A0" w:rsidP="008355A0">
      <w:pPr>
        <w:rPr>
          <w:lang w:val="hu-HU"/>
        </w:rPr>
      </w:pPr>
      <w:r>
        <w:rPr>
          <w:lang w:val="hu-HU"/>
        </w:rPr>
        <w:t xml:space="preserve">                                          </w:t>
      </w:r>
    </w:p>
    <w:p w:rsidR="008355A0" w:rsidRDefault="008355A0" w:rsidP="008355A0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T E R V E Z E T</w:t>
      </w:r>
    </w:p>
    <w:p w:rsidR="008355A0" w:rsidRDefault="008355A0" w:rsidP="008355A0">
      <w:pPr>
        <w:rPr>
          <w:lang w:val="hu-HU"/>
        </w:rPr>
      </w:pPr>
    </w:p>
    <w:p w:rsidR="008355A0" w:rsidRDefault="008355A0" w:rsidP="008355A0">
      <w:pPr>
        <w:rPr>
          <w:lang w:val="hu-HU"/>
        </w:rPr>
      </w:pPr>
    </w:p>
    <w:p w:rsidR="008355A0" w:rsidRDefault="008355A0" w:rsidP="008355A0">
      <w:pPr>
        <w:rPr>
          <w:lang w:val="hu-HU"/>
        </w:rPr>
      </w:pPr>
      <w:r>
        <w:rPr>
          <w:lang w:val="hu-HU"/>
        </w:rPr>
        <w:t>Összeállította: ad hoc Munkavédelmi Szakértő</w:t>
      </w:r>
      <w:r w:rsidR="00D86AEC">
        <w:rPr>
          <w:lang w:val="hu-HU"/>
        </w:rPr>
        <w:t>i</w:t>
      </w:r>
      <w:r>
        <w:rPr>
          <w:lang w:val="hu-HU"/>
        </w:rPr>
        <w:t xml:space="preserve"> Bizottság</w:t>
      </w:r>
    </w:p>
    <w:p w:rsidR="008355A0" w:rsidRDefault="008355A0" w:rsidP="008355A0">
      <w:pPr>
        <w:rPr>
          <w:lang w:val="hu-HU"/>
        </w:rPr>
      </w:pPr>
      <w:r>
        <w:rPr>
          <w:lang w:val="hu-HU"/>
        </w:rPr>
        <w:t>Tagjai</w:t>
      </w:r>
      <w:proofErr w:type="gramStart"/>
      <w:r>
        <w:rPr>
          <w:lang w:val="hu-HU"/>
        </w:rPr>
        <w:t>:  dr.</w:t>
      </w:r>
      <w:proofErr w:type="gramEnd"/>
      <w:r>
        <w:rPr>
          <w:lang w:val="hu-HU"/>
        </w:rPr>
        <w:t xml:space="preserve"> Szilágyi József munkavállalói oldal, társelnök</w:t>
      </w:r>
    </w:p>
    <w:p w:rsidR="008355A0" w:rsidRDefault="008355A0" w:rsidP="008355A0">
      <w:pPr>
        <w:rPr>
          <w:lang w:val="hu-HU"/>
        </w:rPr>
      </w:pPr>
      <w:r>
        <w:rPr>
          <w:lang w:val="hu-HU"/>
        </w:rPr>
        <w:t xml:space="preserve">              Kovács </w:t>
      </w:r>
      <w:proofErr w:type="gramStart"/>
      <w:r>
        <w:rPr>
          <w:lang w:val="hu-HU"/>
        </w:rPr>
        <w:t>János         munkavállalói</w:t>
      </w:r>
      <w:proofErr w:type="gramEnd"/>
      <w:r>
        <w:rPr>
          <w:lang w:val="hu-HU"/>
        </w:rPr>
        <w:t xml:space="preserve"> oldal</w:t>
      </w:r>
    </w:p>
    <w:p w:rsidR="008355A0" w:rsidRDefault="008355A0" w:rsidP="008355A0">
      <w:pPr>
        <w:rPr>
          <w:lang w:val="hu-HU"/>
        </w:rPr>
      </w:pPr>
      <w:r>
        <w:rPr>
          <w:lang w:val="hu-HU"/>
        </w:rPr>
        <w:t xml:space="preserve">              Várhelyi </w:t>
      </w:r>
      <w:proofErr w:type="gramStart"/>
      <w:r>
        <w:rPr>
          <w:lang w:val="hu-HU"/>
        </w:rPr>
        <w:t>Géza        munkáltatói</w:t>
      </w:r>
      <w:proofErr w:type="gramEnd"/>
      <w:r>
        <w:rPr>
          <w:lang w:val="hu-HU"/>
        </w:rPr>
        <w:t xml:space="preserve"> oldal, társelnök</w:t>
      </w:r>
    </w:p>
    <w:p w:rsidR="008355A0" w:rsidRDefault="008355A0" w:rsidP="008355A0">
      <w:pPr>
        <w:rPr>
          <w:lang w:val="hu-HU"/>
        </w:rPr>
      </w:pPr>
      <w:r>
        <w:rPr>
          <w:lang w:val="hu-HU"/>
        </w:rPr>
        <w:t xml:space="preserve">              Gázmár </w:t>
      </w:r>
      <w:proofErr w:type="gramStart"/>
      <w:r>
        <w:rPr>
          <w:lang w:val="hu-HU"/>
        </w:rPr>
        <w:t>Domán     munkáltatói</w:t>
      </w:r>
      <w:proofErr w:type="gramEnd"/>
      <w:r>
        <w:rPr>
          <w:lang w:val="hu-HU"/>
        </w:rPr>
        <w:t xml:space="preserve"> oldal</w:t>
      </w:r>
    </w:p>
    <w:p w:rsidR="008355A0" w:rsidRPr="008355A0" w:rsidRDefault="008355A0" w:rsidP="008355A0">
      <w:pPr>
        <w:rPr>
          <w:lang w:val="hu-HU"/>
        </w:rPr>
      </w:pPr>
      <w:r>
        <w:rPr>
          <w:lang w:val="hu-HU"/>
        </w:rPr>
        <w:t xml:space="preserve">              Gráfel Sándor        munkáltatói oldal</w:t>
      </w:r>
    </w:p>
    <w:p w:rsidR="00E44994" w:rsidRPr="005677BC" w:rsidRDefault="001F2F24" w:rsidP="005677BC">
      <w:pPr>
        <w:rPr>
          <w:sz w:val="36"/>
          <w:szCs w:val="36"/>
          <w:lang w:val="hu-HU"/>
        </w:rPr>
      </w:pPr>
      <w:r>
        <w:rPr>
          <w:lang w:val="hu-HU"/>
        </w:rPr>
        <w:t xml:space="preserve">                                                                                     </w:t>
      </w:r>
    </w:p>
    <w:p w:rsidR="001F2F24" w:rsidRDefault="00726637" w:rsidP="00726637">
      <w:pPr>
        <w:rPr>
          <w:lang w:val="hu-HU"/>
        </w:rPr>
      </w:pPr>
      <w:r>
        <w:rPr>
          <w:lang w:val="hu-HU"/>
        </w:rPr>
        <w:br w:type="page"/>
      </w:r>
    </w:p>
    <w:p w:rsidR="00CE27D6" w:rsidRPr="00CE27D6" w:rsidRDefault="00CE27D6" w:rsidP="00CE27D6">
      <w:pPr>
        <w:rPr>
          <w:lang w:val="hu-H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1838960578"/>
        <w:docPartObj>
          <w:docPartGallery w:val="Table of Contents"/>
          <w:docPartUnique/>
        </w:docPartObj>
      </w:sdtPr>
      <w:sdtContent>
        <w:p w:rsidR="00CE27D6" w:rsidRDefault="00CE27D6">
          <w:pPr>
            <w:pStyle w:val="Tartalomjegyzkcmsora"/>
          </w:pPr>
          <w:r>
            <w:t>Tartalom</w:t>
          </w:r>
        </w:p>
        <w:p w:rsidR="000824E4" w:rsidRDefault="00D06C8B">
          <w:pPr>
            <w:pStyle w:val="TJ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r w:rsidRPr="00D06C8B">
            <w:fldChar w:fldCharType="begin"/>
          </w:r>
          <w:r w:rsidR="00CE27D6">
            <w:instrText xml:space="preserve"> TOC \o "1-3" \h \z \u </w:instrText>
          </w:r>
          <w:r w:rsidRPr="00D06C8B">
            <w:fldChar w:fldCharType="separate"/>
          </w:r>
          <w:hyperlink w:anchor="_Toc422487932" w:history="1">
            <w:r w:rsidR="000824E4" w:rsidRPr="0080151E">
              <w:rPr>
                <w:rStyle w:val="Hiperhivatkozs"/>
                <w:noProof/>
                <w:lang w:val="hu-HU"/>
              </w:rPr>
              <w:t>1.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Bevezetés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24E4" w:rsidRDefault="00D06C8B">
          <w:pPr>
            <w:pStyle w:val="TJ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hyperlink w:anchor="_Toc422487933" w:history="1">
            <w:r w:rsidR="000824E4" w:rsidRPr="0080151E">
              <w:rPr>
                <w:rStyle w:val="Hiperhivatkozs"/>
                <w:noProof/>
                <w:lang w:val="hu-HU"/>
              </w:rPr>
              <w:t>2.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A Politikai Nyilatkozat a mai, hazai viszonyok között is érvényes és követendő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24E4" w:rsidRDefault="00D06C8B">
          <w:pPr>
            <w:pStyle w:val="TJ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hyperlink w:anchor="_Toc422487934" w:history="1">
            <w:r w:rsidR="000824E4" w:rsidRPr="0080151E">
              <w:rPr>
                <w:rStyle w:val="Hiperhivatkozs"/>
                <w:noProof/>
                <w:lang w:val="hu-HU"/>
              </w:rPr>
              <w:t>3.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A munkavédelmi képzés jogszabályi háttere Magyarországon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24E4" w:rsidRDefault="00D06C8B">
          <w:pPr>
            <w:pStyle w:val="TJ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hyperlink w:anchor="_Toc422487935" w:history="1">
            <w:r w:rsidR="000824E4" w:rsidRPr="0080151E">
              <w:rPr>
                <w:rStyle w:val="Hiperhivatkozs"/>
                <w:noProof/>
                <w:lang w:val="hu-HU"/>
              </w:rPr>
              <w:t>4.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Ajánlások munkavállalói csoportonként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24E4" w:rsidRDefault="00D06C8B">
          <w:pPr>
            <w:pStyle w:val="TJ2"/>
            <w:tabs>
              <w:tab w:val="left" w:pos="88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hyperlink w:anchor="_Toc422487936" w:history="1">
            <w:r w:rsidR="000824E4" w:rsidRPr="0080151E">
              <w:rPr>
                <w:rStyle w:val="Hiperhivatkozs"/>
                <w:noProof/>
                <w:lang w:val="hu-HU"/>
              </w:rPr>
              <w:t>4.1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A munkavállalók képzése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24E4" w:rsidRDefault="00D06C8B">
          <w:pPr>
            <w:pStyle w:val="TJ2"/>
            <w:tabs>
              <w:tab w:val="left" w:pos="88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hyperlink w:anchor="_Toc422487937" w:history="1">
            <w:r w:rsidR="000824E4" w:rsidRPr="0080151E">
              <w:rPr>
                <w:rStyle w:val="Hiperhivatkozs"/>
                <w:noProof/>
                <w:lang w:val="hu-HU"/>
              </w:rPr>
              <w:t>4.2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A munkavállalói képviselők képzése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24E4" w:rsidRDefault="00D06C8B">
          <w:pPr>
            <w:pStyle w:val="TJ2"/>
            <w:tabs>
              <w:tab w:val="left" w:pos="88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hyperlink w:anchor="_Toc422487938" w:history="1">
            <w:r w:rsidR="000824E4" w:rsidRPr="0080151E">
              <w:rPr>
                <w:rStyle w:val="Hiperhivatkozs"/>
                <w:noProof/>
                <w:lang w:val="hu-HU"/>
              </w:rPr>
              <w:t>4.3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A vezetők és a munkavédelmi szakemberek képzése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24E4" w:rsidRDefault="00D06C8B">
          <w:pPr>
            <w:pStyle w:val="TJ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hyperlink w:anchor="_Toc422487939" w:history="1">
            <w:r w:rsidR="000824E4" w:rsidRPr="0080151E">
              <w:rPr>
                <w:rStyle w:val="Hiperhivatkozs"/>
                <w:noProof/>
                <w:w w:val="102"/>
                <w:lang w:val="hu-HU"/>
              </w:rPr>
              <w:t>5.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melléklet: P</w:t>
            </w:r>
            <w:r w:rsidR="000824E4" w:rsidRPr="0080151E">
              <w:rPr>
                <w:rStyle w:val="Hiperhivatkozs"/>
                <w:noProof/>
                <w:spacing w:val="-2"/>
                <w:lang w:val="hu-HU"/>
              </w:rPr>
              <w:t>o</w:t>
            </w:r>
            <w:r w:rsidR="000824E4" w:rsidRPr="0080151E">
              <w:rPr>
                <w:rStyle w:val="Hiperhivatkozs"/>
                <w:noProof/>
                <w:lang w:val="hu-HU"/>
              </w:rPr>
              <w:t>litikai nyilatkozat</w:t>
            </w:r>
            <w:r w:rsidR="000824E4" w:rsidRPr="0080151E">
              <w:rPr>
                <w:rStyle w:val="Hiperhivatkozs"/>
                <w:noProof/>
                <w:spacing w:val="15"/>
                <w:lang w:val="hu-HU"/>
              </w:rPr>
              <w:t xml:space="preserve"> </w:t>
            </w:r>
            <w:r w:rsidR="000824E4" w:rsidRPr="0080151E">
              <w:rPr>
                <w:rStyle w:val="Hiperhivatkozs"/>
                <w:noProof/>
                <w:spacing w:val="-1"/>
                <w:lang w:val="hu-HU"/>
              </w:rPr>
              <w:t>E</w:t>
            </w:r>
            <w:r w:rsidR="000824E4" w:rsidRPr="0080151E">
              <w:rPr>
                <w:rStyle w:val="Hiperhivatkozs"/>
                <w:noProof/>
                <w:spacing w:val="-4"/>
                <w:lang w:val="hu-HU"/>
              </w:rPr>
              <w:t>U</w:t>
            </w:r>
            <w:r w:rsidR="000824E4" w:rsidRPr="0080151E">
              <w:rPr>
                <w:rStyle w:val="Hiperhivatkozs"/>
                <w:noProof/>
                <w:spacing w:val="-2"/>
                <w:lang w:val="hu-HU"/>
              </w:rPr>
              <w:t>R</w:t>
            </w:r>
            <w:r w:rsidR="000824E4" w:rsidRPr="0080151E">
              <w:rPr>
                <w:rStyle w:val="Hiperhivatkozs"/>
                <w:noProof/>
                <w:spacing w:val="-1"/>
                <w:lang w:val="hu-HU"/>
              </w:rPr>
              <w:t>ELE</w:t>
            </w:r>
            <w:r w:rsidR="000824E4" w:rsidRPr="0080151E">
              <w:rPr>
                <w:rStyle w:val="Hiperhivatkozs"/>
                <w:noProof/>
                <w:spacing w:val="-2"/>
                <w:lang w:val="hu-HU"/>
              </w:rPr>
              <w:t>C</w:t>
            </w:r>
            <w:r w:rsidR="000824E4" w:rsidRPr="0080151E">
              <w:rPr>
                <w:rStyle w:val="Hiperhivatkozs"/>
                <w:noProof/>
                <w:spacing w:val="-1"/>
                <w:lang w:val="hu-HU"/>
              </w:rPr>
              <w:t>T</w:t>
            </w:r>
            <w:r w:rsidR="000824E4" w:rsidRPr="0080151E">
              <w:rPr>
                <w:rStyle w:val="Hiperhivatkozs"/>
                <w:noProof/>
                <w:spacing w:val="-2"/>
                <w:lang w:val="hu-HU"/>
              </w:rPr>
              <w:t>R</w:t>
            </w:r>
            <w:r w:rsidR="000824E4" w:rsidRPr="0080151E">
              <w:rPr>
                <w:rStyle w:val="Hiperhivatkozs"/>
                <w:noProof/>
                <w:spacing w:val="-1"/>
                <w:lang w:val="hu-HU"/>
              </w:rPr>
              <w:t>I</w:t>
            </w:r>
            <w:r w:rsidR="000824E4" w:rsidRPr="0080151E">
              <w:rPr>
                <w:rStyle w:val="Hiperhivatkozs"/>
                <w:noProof/>
                <w:lang w:val="hu-HU"/>
              </w:rPr>
              <w:t>C</w:t>
            </w:r>
            <w:r w:rsidR="000824E4" w:rsidRPr="0080151E">
              <w:rPr>
                <w:rStyle w:val="Hiperhivatkozs"/>
                <w:noProof/>
                <w:spacing w:val="28"/>
                <w:lang w:val="hu-HU"/>
              </w:rPr>
              <w:t xml:space="preserve"> </w:t>
            </w:r>
            <w:r w:rsidR="000824E4" w:rsidRPr="0080151E">
              <w:rPr>
                <w:rStyle w:val="Hiperhivatkozs"/>
                <w:noProof/>
                <w:lang w:val="hu-HU"/>
              </w:rPr>
              <w:t>-</w:t>
            </w:r>
            <w:r w:rsidR="000824E4" w:rsidRPr="0080151E">
              <w:rPr>
                <w:rStyle w:val="Hiperhivatkozs"/>
                <w:noProof/>
                <w:spacing w:val="-2"/>
                <w:lang w:val="hu-HU"/>
              </w:rPr>
              <w:t xml:space="preserve"> </w:t>
            </w:r>
            <w:r w:rsidR="000824E4" w:rsidRPr="0080151E">
              <w:rPr>
                <w:rStyle w:val="Hiperhivatkozs"/>
                <w:noProof/>
                <w:spacing w:val="-1"/>
                <w:lang w:val="hu-HU"/>
              </w:rPr>
              <w:t>E</w:t>
            </w:r>
            <w:r w:rsidR="000824E4" w:rsidRPr="0080151E">
              <w:rPr>
                <w:rStyle w:val="Hiperhivatkozs"/>
                <w:noProof/>
                <w:spacing w:val="-6"/>
                <w:lang w:val="hu-HU"/>
              </w:rPr>
              <w:t>P</w:t>
            </w:r>
            <w:r w:rsidR="000824E4" w:rsidRPr="0080151E">
              <w:rPr>
                <w:rStyle w:val="Hiperhivatkozs"/>
                <w:noProof/>
                <w:lang w:val="hu-HU"/>
              </w:rPr>
              <w:t>SU</w:t>
            </w:r>
            <w:r w:rsidR="000824E4" w:rsidRPr="0080151E">
              <w:rPr>
                <w:rStyle w:val="Hiperhivatkozs"/>
                <w:noProof/>
                <w:spacing w:val="7"/>
                <w:lang w:val="hu-HU"/>
              </w:rPr>
              <w:t xml:space="preserve"> </w:t>
            </w:r>
            <w:r w:rsidR="000824E4" w:rsidRPr="0080151E">
              <w:rPr>
                <w:rStyle w:val="Hiperhivatkozs"/>
                <w:noProof/>
                <w:lang w:val="hu-HU"/>
              </w:rPr>
              <w:t>–</w:t>
            </w:r>
            <w:r w:rsidR="000824E4" w:rsidRPr="0080151E">
              <w:rPr>
                <w:rStyle w:val="Hiperhivatkozs"/>
                <w:noProof/>
                <w:spacing w:val="-2"/>
                <w:lang w:val="hu-HU"/>
              </w:rPr>
              <w:t xml:space="preserve"> </w:t>
            </w:r>
            <w:r w:rsidR="000824E4" w:rsidRPr="0080151E">
              <w:rPr>
                <w:rStyle w:val="Hiperhivatkozs"/>
                <w:noProof/>
                <w:spacing w:val="-1"/>
                <w:w w:val="102"/>
                <w:lang w:val="hu-HU"/>
              </w:rPr>
              <w:t>E</w:t>
            </w:r>
            <w:r w:rsidR="000824E4" w:rsidRPr="0080151E">
              <w:rPr>
                <w:rStyle w:val="Hiperhivatkozs"/>
                <w:noProof/>
                <w:spacing w:val="-4"/>
                <w:w w:val="102"/>
                <w:lang w:val="hu-HU"/>
              </w:rPr>
              <w:t>M</w:t>
            </w:r>
            <w:r w:rsidR="000824E4" w:rsidRPr="0080151E">
              <w:rPr>
                <w:rStyle w:val="Hiperhivatkozs"/>
                <w:noProof/>
                <w:spacing w:val="-2"/>
                <w:w w:val="102"/>
                <w:lang w:val="hu-HU"/>
              </w:rPr>
              <w:t>C</w:t>
            </w:r>
            <w:r w:rsidR="000824E4" w:rsidRPr="0080151E">
              <w:rPr>
                <w:rStyle w:val="Hiperhivatkozs"/>
                <w:noProof/>
                <w:spacing w:val="-1"/>
                <w:w w:val="102"/>
                <w:lang w:val="hu-HU"/>
              </w:rPr>
              <w:t>E</w:t>
            </w:r>
            <w:r w:rsidR="000824E4" w:rsidRPr="0080151E">
              <w:rPr>
                <w:rStyle w:val="Hiperhivatkozs"/>
                <w:noProof/>
                <w:w w:val="102"/>
                <w:lang w:val="hu-HU"/>
              </w:rPr>
              <w:t>F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24E4" w:rsidRDefault="00D06C8B">
          <w:pPr>
            <w:pStyle w:val="TJ1"/>
            <w:tabs>
              <w:tab w:val="left" w:pos="440"/>
              <w:tab w:val="right" w:leader="dot" w:pos="9490"/>
            </w:tabs>
            <w:rPr>
              <w:rFonts w:eastAsiaTheme="minorEastAsia"/>
              <w:noProof/>
              <w:lang w:val="hu-HU" w:eastAsia="hu-HU"/>
            </w:rPr>
          </w:pPr>
          <w:hyperlink w:anchor="_Toc422487940" w:history="1">
            <w:r w:rsidR="000824E4" w:rsidRPr="0080151E">
              <w:rPr>
                <w:rStyle w:val="Hiperhivatkozs"/>
                <w:noProof/>
                <w:lang w:val="hu-HU"/>
              </w:rPr>
              <w:t>6.</w:t>
            </w:r>
            <w:r w:rsidR="000824E4">
              <w:rPr>
                <w:rFonts w:eastAsiaTheme="minorEastAsia"/>
                <w:noProof/>
                <w:lang w:val="hu-HU" w:eastAsia="hu-HU"/>
              </w:rPr>
              <w:tab/>
            </w:r>
            <w:r w:rsidR="000824E4" w:rsidRPr="0080151E">
              <w:rPr>
                <w:rStyle w:val="Hiperhivatkozs"/>
                <w:noProof/>
                <w:lang w:val="hu-HU"/>
              </w:rPr>
              <w:t>Függelék:  Megállapodás a Villamosenergia-ipari Alágazati Párbeszéd Bizottság szociális partnerei között az EU szintű ágazati szociális párbeszédnek a képzés témakörében létrejött eredményei hazai hasznosulása elősegítésére</w:t>
            </w:r>
            <w:r w:rsidR="000824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824E4">
              <w:rPr>
                <w:noProof/>
                <w:webHidden/>
              </w:rPr>
              <w:instrText xml:space="preserve"> PAGEREF _Toc422487940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24E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27D6" w:rsidRDefault="00D06C8B">
          <w:r>
            <w:rPr>
              <w:b/>
              <w:bCs/>
            </w:rPr>
            <w:fldChar w:fldCharType="end"/>
          </w:r>
        </w:p>
      </w:sdtContent>
    </w:sdt>
    <w:p w:rsidR="00726637" w:rsidRDefault="00726637">
      <w:pPr>
        <w:rPr>
          <w:lang w:val="hu-HU"/>
        </w:rPr>
      </w:pPr>
      <w:r>
        <w:rPr>
          <w:lang w:val="hu-HU"/>
        </w:rPr>
        <w:br w:type="page"/>
      </w:r>
    </w:p>
    <w:p w:rsidR="006A17D2" w:rsidRPr="006A17D2" w:rsidRDefault="006A17D2" w:rsidP="006A17D2">
      <w:pPr>
        <w:rPr>
          <w:lang w:val="hu-HU"/>
        </w:rPr>
      </w:pPr>
    </w:p>
    <w:p w:rsidR="005D31AF" w:rsidRDefault="005D31AF" w:rsidP="006A17D2">
      <w:pPr>
        <w:pStyle w:val="Cmsor1"/>
        <w:numPr>
          <w:ilvl w:val="0"/>
          <w:numId w:val="1"/>
        </w:numPr>
        <w:rPr>
          <w:lang w:val="hu-HU"/>
        </w:rPr>
      </w:pPr>
      <w:bookmarkStart w:id="0" w:name="_Toc422487932"/>
      <w:r>
        <w:rPr>
          <w:lang w:val="hu-HU"/>
        </w:rPr>
        <w:t>Bevezetés</w:t>
      </w:r>
      <w:bookmarkEnd w:id="0"/>
    </w:p>
    <w:p w:rsidR="00F55827" w:rsidRPr="00F55827" w:rsidRDefault="00F55827" w:rsidP="00F55827">
      <w:pPr>
        <w:rPr>
          <w:lang w:val="hu-HU"/>
        </w:rPr>
      </w:pPr>
    </w:p>
    <w:p w:rsidR="005D31AF" w:rsidRPr="005D31AF" w:rsidRDefault="001956E3" w:rsidP="005D31AF">
      <w:pPr>
        <w:ind w:left="360"/>
        <w:jc w:val="both"/>
        <w:rPr>
          <w:lang w:val="hu-HU"/>
        </w:rPr>
      </w:pPr>
      <w:r w:rsidRPr="005D31AF">
        <w:rPr>
          <w:lang w:val="hu-HU"/>
        </w:rPr>
        <w:t>Magyarországon,</w:t>
      </w:r>
      <w:r w:rsidR="005D31AF" w:rsidRPr="005D31AF">
        <w:rPr>
          <w:lang w:val="hu-HU"/>
        </w:rPr>
        <w:t xml:space="preserve"> a villamosenergia-ipar élen jár az ágazati szintű szociális párbeszéd kialakulását és eredményeit illetően egyaránt. A párbeszéd résztvevői munkáltatói oldalon a VTMSZ, munkavállalói oldalon az EVDSZ és a BDSZ. Az általánosnak mondható európai és magyar gyakorlattól eltérő sajátos körülmény, hogy a </w:t>
      </w:r>
      <w:proofErr w:type="spellStart"/>
      <w:r w:rsidR="005D31AF" w:rsidRPr="005D31AF">
        <w:rPr>
          <w:lang w:val="hu-HU"/>
        </w:rPr>
        <w:t>VTMSZ-t</w:t>
      </w:r>
      <w:proofErr w:type="spellEnd"/>
      <w:r w:rsidR="005D31AF" w:rsidRPr="005D31AF">
        <w:rPr>
          <w:lang w:val="hu-HU"/>
        </w:rPr>
        <w:t xml:space="preserve"> alapszabálya nem jogosítja fel a tagvállalatok teljes körű gazdasági és szakmai érdekeinek képviseletére, így a hazai ágazati érdekegyeztetés csak a munka világához tartozó kérdésekre, területekre terjed ki. Ebből következően a VTMSZ nem lehet közvetlen résztvevője az EU szintű villamosenergia-ipari érdekegyeztetésnek, mely funkció betöltésére az EURELECTRIC Magyarországi Tagozata jött létre. Bár a két szervezet között van együttműködés a munka világára vonatkozó kérdések magyar képviselője közös delegálására, a VÁPB tevékenységében mindez ideig az EU szintű érdekegyeztetésben való részvétel, az ott született eredmények hazai alkalmazásával való foglalkozás nem kapott érdemi helyet.</w:t>
      </w:r>
    </w:p>
    <w:p w:rsidR="005D31AF" w:rsidRPr="005D31AF" w:rsidRDefault="005D31AF" w:rsidP="005D31AF">
      <w:pPr>
        <w:ind w:left="360"/>
        <w:jc w:val="both"/>
        <w:rPr>
          <w:lang w:val="hu-HU"/>
        </w:rPr>
      </w:pPr>
      <w:r w:rsidRPr="005D31AF">
        <w:rPr>
          <w:lang w:val="hu-HU"/>
        </w:rPr>
        <w:t xml:space="preserve">A </w:t>
      </w:r>
      <w:proofErr w:type="spellStart"/>
      <w:r w:rsidRPr="005D31AF">
        <w:rPr>
          <w:lang w:val="hu-HU"/>
        </w:rPr>
        <w:t>VÁPB-ben</w:t>
      </w:r>
      <w:proofErr w:type="spellEnd"/>
      <w:r w:rsidRPr="005D31AF">
        <w:rPr>
          <w:lang w:val="hu-HU"/>
        </w:rPr>
        <w:t xml:space="preserve"> helyet foglaló szociális partnerek elhatározták, hogy változtatnak ezen a gyakorlaton, és a munka világához tartozó területeken született EU szintű megállapodásokat megvitatják, s közösen döntenek az azok hazai hasznosulását elősegítő, esetlegesen szükséges tennivalókról.</w:t>
      </w:r>
    </w:p>
    <w:p w:rsidR="005D31AF" w:rsidRPr="005D31AF" w:rsidRDefault="005D31AF" w:rsidP="005D31AF">
      <w:pPr>
        <w:ind w:left="360"/>
        <w:jc w:val="both"/>
        <w:rPr>
          <w:lang w:val="hu-HU"/>
        </w:rPr>
      </w:pPr>
      <w:r w:rsidRPr="005D31AF">
        <w:rPr>
          <w:lang w:val="hu-HU"/>
        </w:rPr>
        <w:t>A VÁPB e munkát a képzés területén született EU szintű ágazati megállapodások áttekintésével, megvitatásával kezdte le, amelynek eredménye a 2014. szept. 1-jén létrejött Megállapodás lett (lásd Függelék).</w:t>
      </w:r>
    </w:p>
    <w:p w:rsidR="005D31AF" w:rsidRPr="005D31AF" w:rsidRDefault="005D31AF" w:rsidP="005D31AF">
      <w:pPr>
        <w:ind w:left="360"/>
        <w:jc w:val="both"/>
        <w:rPr>
          <w:lang w:val="hu-HU"/>
        </w:rPr>
      </w:pPr>
      <w:r w:rsidRPr="005D31AF">
        <w:rPr>
          <w:lang w:val="hu-HU"/>
        </w:rPr>
        <w:t>E Megállapodás 2. pontja az egészség és biztonság témakörökre vonatkozó képzésekkel foglalkozik az e tárgykörben az európai ágazati szociális partnerek (EURELECTRIC, EPSU, EMCEF) által 2006. december 13-án elfogadott „Egészség és biztonság és képzés. Politikai Nyilatkozat”</w:t>
      </w:r>
      <w:proofErr w:type="spellStart"/>
      <w:r w:rsidRPr="005D31AF">
        <w:rPr>
          <w:lang w:val="hu-HU"/>
        </w:rPr>
        <w:t>-hoz</w:t>
      </w:r>
      <w:proofErr w:type="spellEnd"/>
      <w:r w:rsidRPr="005D31AF">
        <w:rPr>
          <w:lang w:val="hu-HU"/>
        </w:rPr>
        <w:t xml:space="preserve"> (továbbiakban: Politikai Nyilatkozat (lásd melléklet) kapcsolódóan.</w:t>
      </w:r>
    </w:p>
    <w:p w:rsidR="005D31AF" w:rsidRPr="005D31AF" w:rsidRDefault="005D31AF" w:rsidP="005D31AF">
      <w:pPr>
        <w:ind w:left="360"/>
        <w:jc w:val="both"/>
        <w:rPr>
          <w:lang w:val="hu-HU"/>
        </w:rPr>
      </w:pPr>
      <w:r w:rsidRPr="005D31AF">
        <w:rPr>
          <w:lang w:val="hu-HU"/>
        </w:rPr>
        <w:t xml:space="preserve">Jelen állásfoglalással a VÁPB e Politikai Nyilatkozat magyarországi érvényesülését kívánja támogatni, elősegíteni. </w:t>
      </w:r>
    </w:p>
    <w:p w:rsidR="00281603" w:rsidRDefault="00281603" w:rsidP="006A17D2">
      <w:pPr>
        <w:pStyle w:val="Cmsor1"/>
        <w:numPr>
          <w:ilvl w:val="0"/>
          <w:numId w:val="1"/>
        </w:numPr>
        <w:rPr>
          <w:lang w:val="hu-HU"/>
        </w:rPr>
      </w:pPr>
      <w:bookmarkStart w:id="1" w:name="_Toc422487933"/>
      <w:r>
        <w:rPr>
          <w:lang w:val="hu-HU"/>
        </w:rPr>
        <w:t xml:space="preserve">A </w:t>
      </w:r>
      <w:r w:rsidR="009B6253">
        <w:rPr>
          <w:lang w:val="hu-HU"/>
        </w:rPr>
        <w:t>P</w:t>
      </w:r>
      <w:r>
        <w:rPr>
          <w:lang w:val="hu-HU"/>
        </w:rPr>
        <w:t xml:space="preserve">olitikai </w:t>
      </w:r>
      <w:r w:rsidR="009B6253">
        <w:rPr>
          <w:lang w:val="hu-HU"/>
        </w:rPr>
        <w:t>N</w:t>
      </w:r>
      <w:r w:rsidR="006A17D2">
        <w:rPr>
          <w:lang w:val="hu-HU"/>
        </w:rPr>
        <w:t>yilatkozat</w:t>
      </w:r>
      <w:r>
        <w:rPr>
          <w:lang w:val="hu-HU"/>
        </w:rPr>
        <w:t xml:space="preserve"> </w:t>
      </w:r>
      <w:r w:rsidR="009B6253">
        <w:rPr>
          <w:lang w:val="hu-HU"/>
        </w:rPr>
        <w:t>a mai, hazai viszonyok között is érvényes és követendő</w:t>
      </w:r>
      <w:bookmarkEnd w:id="1"/>
    </w:p>
    <w:p w:rsidR="00F55827" w:rsidRPr="00F55827" w:rsidRDefault="00F55827" w:rsidP="00F55827">
      <w:pPr>
        <w:rPr>
          <w:lang w:val="hu-HU"/>
        </w:rPr>
      </w:pPr>
    </w:p>
    <w:p w:rsidR="00F913F8" w:rsidRPr="00F55827" w:rsidRDefault="00F913F8" w:rsidP="00F55827">
      <w:pPr>
        <w:ind w:left="360"/>
        <w:jc w:val="both"/>
        <w:rPr>
          <w:lang w:val="hu-HU"/>
        </w:rPr>
      </w:pPr>
      <w:r w:rsidRPr="00F55827">
        <w:rPr>
          <w:lang w:val="hu-HU"/>
        </w:rPr>
        <w:t xml:space="preserve">A </w:t>
      </w:r>
      <w:proofErr w:type="spellStart"/>
      <w:r w:rsidRPr="00F55827">
        <w:rPr>
          <w:lang w:val="hu-HU"/>
        </w:rPr>
        <w:t>VÁPB-ben</w:t>
      </w:r>
      <w:proofErr w:type="spellEnd"/>
      <w:r w:rsidRPr="00F55827">
        <w:rPr>
          <w:lang w:val="hu-HU"/>
        </w:rPr>
        <w:t xml:space="preserve"> résztvevő szervezetek teljes mértékben azonosulnak az európai ágazati szociális partnereknek a Politikai Nyilatkozatban megfogalmazott azon álláspontjával, hogy az egészség és biztonság magas színvonalának fenntartása az iparágban végbement és előreláthatóan folytatódó szerkezeti, technikai-technológiai, szabályozási változásokat figyelembe vevő, a menedzsmentre és a munkavállalókra egyaránt kiterjedő rendszeres és hatékony képzés nélkül elképzelhetetlen. </w:t>
      </w:r>
    </w:p>
    <w:p w:rsidR="00F913F8" w:rsidRPr="00F55827" w:rsidRDefault="00F913F8" w:rsidP="00F55827">
      <w:pPr>
        <w:ind w:left="360"/>
        <w:jc w:val="both"/>
        <w:rPr>
          <w:lang w:val="hu-HU"/>
        </w:rPr>
      </w:pPr>
      <w:r w:rsidRPr="00F55827">
        <w:rPr>
          <w:lang w:val="hu-HU"/>
        </w:rPr>
        <w:t>A VÁPB az ad hoc Munkavédelmi Szakbizottság véleményével egyetértve a Politikai Nyilatkozatban megfogalmazott és követett alapelvekkel maradéktalanul egyetért, azokat a hazai viszonyok közepette is érvényesnek tartja. Az ajánlott képzési témák a képzés</w:t>
      </w:r>
      <w:r w:rsidR="00F55827" w:rsidRPr="00F55827">
        <w:rPr>
          <w:lang w:val="hu-HU"/>
        </w:rPr>
        <w:t xml:space="preserve">sel érintett minden csoportban </w:t>
      </w:r>
      <w:r w:rsidRPr="00F55827">
        <w:rPr>
          <w:lang w:val="hu-HU"/>
        </w:rPr>
        <w:t xml:space="preserve">a </w:t>
      </w:r>
      <w:r w:rsidRPr="00F55827">
        <w:rPr>
          <w:lang w:val="hu-HU"/>
        </w:rPr>
        <w:lastRenderedPageBreak/>
        <w:t xml:space="preserve">magyar gyakorlat számára is relevánsak.  Mindezekre tekintettel a </w:t>
      </w:r>
      <w:proofErr w:type="spellStart"/>
      <w:r w:rsidRPr="00F55827">
        <w:rPr>
          <w:lang w:val="hu-HU"/>
        </w:rPr>
        <w:t>VÁPB-ben</w:t>
      </w:r>
      <w:proofErr w:type="spellEnd"/>
      <w:r w:rsidRPr="00F55827">
        <w:rPr>
          <w:lang w:val="hu-HU"/>
        </w:rPr>
        <w:t xml:space="preserve"> résztvevő felek - a vállalati önállóság tiszteletben tartása és hangsúlyozása mellett – azt ajánlják tagszervezeteiknek, hogy a lehető legnagyobb mértékben kövessék a Politikai Nyilatkozatban megfogalmazott ajánlásokat, úgy az ott megfogalmazott alapelveket, mint a képzés területeit, témaköreit illetően.</w:t>
      </w:r>
    </w:p>
    <w:p w:rsidR="005D31AF" w:rsidRPr="00F55827" w:rsidRDefault="00F913F8" w:rsidP="00F55827">
      <w:pPr>
        <w:ind w:left="360"/>
        <w:jc w:val="both"/>
        <w:rPr>
          <w:lang w:val="hu-HU"/>
        </w:rPr>
      </w:pPr>
      <w:r w:rsidRPr="00F55827">
        <w:rPr>
          <w:lang w:val="hu-HU"/>
        </w:rPr>
        <w:t>A VÁPB ug</w:t>
      </w:r>
      <w:r w:rsidR="00F55827" w:rsidRPr="00F55827">
        <w:rPr>
          <w:lang w:val="hu-HU"/>
        </w:rPr>
        <w:t>yanakkor szükségesnek ítéli meg</w:t>
      </w:r>
      <w:r w:rsidRPr="00F55827">
        <w:rPr>
          <w:lang w:val="hu-HU"/>
        </w:rPr>
        <w:t xml:space="preserve"> a mai magyarországi gyakorlathoz, körülményekhez és feltételekhez igazodva, hogy a Politikai Nyilatkozat szövegét a könnyebb érthetőség és feldolgozhatóság érdekében és a lényeget nem érintő módon tömörítsük, továbbá – hasznosulása fokozottabb elősegítése érdekében – néhány vonatkozásban kiegészítsük (mely kiegészítéseket </w:t>
      </w:r>
      <w:r w:rsidR="00326D1D" w:rsidRPr="00326D1D">
        <w:rPr>
          <w:b/>
          <w:lang w:val="hu-HU"/>
        </w:rPr>
        <w:t>vastag</w:t>
      </w:r>
      <w:r w:rsidRPr="00326D1D">
        <w:rPr>
          <w:b/>
          <w:lang w:val="hu-HU"/>
        </w:rPr>
        <w:t xml:space="preserve"> betűvel</w:t>
      </w:r>
      <w:r w:rsidRPr="00F55827">
        <w:rPr>
          <w:lang w:val="hu-HU"/>
        </w:rPr>
        <w:t xml:space="preserve"> jelezzük:</w:t>
      </w:r>
      <w:r w:rsidR="00BD2FB8">
        <w:rPr>
          <w:lang w:val="hu-HU"/>
        </w:rPr>
        <w:t xml:space="preserve"> </w:t>
      </w:r>
      <w:r w:rsidRPr="00F55827">
        <w:rPr>
          <w:lang w:val="hu-HU"/>
        </w:rPr>
        <w:t xml:space="preserve">lásd 4. pont). </w:t>
      </w:r>
      <w:r w:rsidR="00A96DEC" w:rsidRPr="00F55827">
        <w:rPr>
          <w:lang w:val="hu-HU"/>
        </w:rPr>
        <w:t xml:space="preserve">Jelen Állásfoglalás </w:t>
      </w:r>
      <w:r w:rsidRPr="00F55827">
        <w:rPr>
          <w:lang w:val="hu-HU"/>
        </w:rPr>
        <w:t xml:space="preserve">végleges megfogalmazása széleskörű szakmai konzultációt követően történt meg. </w:t>
      </w:r>
    </w:p>
    <w:p w:rsidR="00281603" w:rsidRDefault="00281603" w:rsidP="006A17D2">
      <w:pPr>
        <w:pStyle w:val="Cmsor1"/>
        <w:numPr>
          <w:ilvl w:val="0"/>
          <w:numId w:val="1"/>
        </w:numPr>
        <w:rPr>
          <w:lang w:val="hu-HU"/>
        </w:rPr>
      </w:pPr>
      <w:bookmarkStart w:id="2" w:name="_Toc422487934"/>
      <w:r>
        <w:rPr>
          <w:lang w:val="hu-HU"/>
        </w:rPr>
        <w:t xml:space="preserve">A </w:t>
      </w:r>
      <w:r w:rsidR="009B6253">
        <w:rPr>
          <w:lang w:val="hu-HU"/>
        </w:rPr>
        <w:t>munkavédelmi képzés jogszabályi háttere Magyarországon</w:t>
      </w:r>
      <w:bookmarkEnd w:id="2"/>
    </w:p>
    <w:p w:rsidR="00FC7F21" w:rsidRDefault="00FC7F21" w:rsidP="00FC7F21">
      <w:pPr>
        <w:rPr>
          <w:lang w:val="hu-HU"/>
        </w:rPr>
      </w:pPr>
    </w:p>
    <w:p w:rsidR="00FC7F21" w:rsidRPr="00FC7F21" w:rsidRDefault="00FC7F21" w:rsidP="00F55827">
      <w:pPr>
        <w:ind w:left="360"/>
        <w:jc w:val="both"/>
        <w:rPr>
          <w:lang w:val="hu-HU"/>
        </w:rPr>
      </w:pPr>
      <w:r>
        <w:rPr>
          <w:lang w:val="hu-HU"/>
        </w:rPr>
        <w:t>A munkavédelmi oktatásokkal képzésekkel kapcsolatos összefoglaló előírásokat a Munkavédelemről szóló 1993. évi XCIII. törvény 55. § (1) bekezdése határozza meg. A különböző jogszabályok, szabványok további előírásokat határoznak meg a munkavédelmi oktatásokkal kapcsolatosan (pl. emelőgép</w:t>
      </w:r>
      <w:r w:rsidR="00F55827">
        <w:rPr>
          <w:lang w:val="hu-HU"/>
        </w:rPr>
        <w:t xml:space="preserve"> </w:t>
      </w:r>
      <w:r w:rsidR="00326D1D">
        <w:rPr>
          <w:lang w:val="hu-HU"/>
        </w:rPr>
        <w:t>kezelők oktatása</w:t>
      </w:r>
      <w:r>
        <w:rPr>
          <w:lang w:val="hu-HU"/>
        </w:rPr>
        <w:t>)</w:t>
      </w:r>
    </w:p>
    <w:p w:rsidR="00281603" w:rsidRPr="006A17D2" w:rsidRDefault="00010C0F" w:rsidP="006A17D2">
      <w:pPr>
        <w:pStyle w:val="Cmsor1"/>
        <w:numPr>
          <w:ilvl w:val="0"/>
          <w:numId w:val="1"/>
        </w:numPr>
        <w:rPr>
          <w:lang w:val="hu-HU"/>
        </w:rPr>
      </w:pPr>
      <w:bookmarkStart w:id="3" w:name="_Toc422487935"/>
      <w:r>
        <w:rPr>
          <w:lang w:val="hu-HU"/>
        </w:rPr>
        <w:t>Ajánlások</w:t>
      </w:r>
      <w:r w:rsidR="006A17D2" w:rsidRPr="006A17D2">
        <w:rPr>
          <w:lang w:val="hu-HU"/>
        </w:rPr>
        <w:t xml:space="preserve"> munkavállalói csoportonként</w:t>
      </w:r>
      <w:bookmarkEnd w:id="3"/>
    </w:p>
    <w:p w:rsidR="00281603" w:rsidRDefault="00281603" w:rsidP="00CE27D6">
      <w:pPr>
        <w:pStyle w:val="Cmsor2"/>
        <w:numPr>
          <w:ilvl w:val="1"/>
          <w:numId w:val="1"/>
        </w:numPr>
        <w:rPr>
          <w:lang w:val="hu-HU"/>
        </w:rPr>
      </w:pPr>
      <w:bookmarkStart w:id="4" w:name="_Toc422487936"/>
      <w:r w:rsidRPr="006A17D2">
        <w:rPr>
          <w:lang w:val="hu-HU"/>
        </w:rPr>
        <w:t>A munkavállalók képzése</w:t>
      </w:r>
      <w:bookmarkEnd w:id="4"/>
    </w:p>
    <w:p w:rsidR="009E1BFC" w:rsidRDefault="009E1BFC" w:rsidP="009E1BFC">
      <w:pPr>
        <w:widowControl w:val="0"/>
        <w:autoSpaceDE w:val="0"/>
        <w:autoSpaceDN w:val="0"/>
        <w:adjustRightInd w:val="0"/>
        <w:ind w:right="2"/>
        <w:jc w:val="both"/>
        <w:rPr>
          <w:rFonts w:cstheme="minorHAnsi"/>
          <w:bCs/>
          <w:spacing w:val="-1"/>
          <w:lang w:val="hu-HU"/>
        </w:rPr>
      </w:pPr>
    </w:p>
    <w:p w:rsidR="009E1BFC" w:rsidRPr="009E1BFC" w:rsidRDefault="009E1BFC" w:rsidP="00F55827">
      <w:pPr>
        <w:widowControl w:val="0"/>
        <w:autoSpaceDE w:val="0"/>
        <w:autoSpaceDN w:val="0"/>
        <w:adjustRightInd w:val="0"/>
        <w:ind w:left="360" w:right="2"/>
        <w:jc w:val="both"/>
        <w:rPr>
          <w:rFonts w:cstheme="minorHAnsi"/>
          <w:bCs/>
          <w:spacing w:val="-1"/>
          <w:lang w:val="hu-HU"/>
        </w:rPr>
      </w:pPr>
      <w:r w:rsidRPr="009E1BFC">
        <w:rPr>
          <w:rFonts w:cstheme="minorHAnsi"/>
          <w:bCs/>
          <w:spacing w:val="-1"/>
          <w:lang w:val="hu-HU"/>
        </w:rPr>
        <w:t>A munkabiztonsági képzések a társaságok tevékenységeitől, a helyi körülményektől és a munkaköröktől függően eltérő lehet.</w:t>
      </w:r>
    </w:p>
    <w:p w:rsidR="009E1BFC" w:rsidRPr="009E1BFC" w:rsidRDefault="009E1BFC" w:rsidP="00F55827">
      <w:pPr>
        <w:widowControl w:val="0"/>
        <w:autoSpaceDE w:val="0"/>
        <w:autoSpaceDN w:val="0"/>
        <w:adjustRightInd w:val="0"/>
        <w:ind w:right="2" w:firstLine="360"/>
        <w:jc w:val="both"/>
        <w:rPr>
          <w:rFonts w:cstheme="minorHAnsi"/>
          <w:bCs/>
          <w:spacing w:val="-1"/>
          <w:lang w:val="hu-HU"/>
        </w:rPr>
      </w:pPr>
      <w:r w:rsidRPr="009E1BFC">
        <w:rPr>
          <w:rFonts w:cstheme="minorHAnsi"/>
          <w:bCs/>
          <w:spacing w:val="-1"/>
          <w:lang w:val="hu-HU"/>
        </w:rPr>
        <w:t>A társaságoknál minden munkavállaló részére biztosítani kell a munkabiztonsági képzéseket.</w:t>
      </w:r>
    </w:p>
    <w:p w:rsidR="009E1BFC" w:rsidRPr="0014275C" w:rsidRDefault="009E1BFC" w:rsidP="00F55827">
      <w:pPr>
        <w:widowControl w:val="0"/>
        <w:autoSpaceDE w:val="0"/>
        <w:autoSpaceDN w:val="0"/>
        <w:adjustRightInd w:val="0"/>
        <w:ind w:right="2" w:firstLine="360"/>
        <w:jc w:val="both"/>
        <w:rPr>
          <w:rFonts w:cstheme="minorHAnsi"/>
          <w:b/>
          <w:bCs/>
          <w:spacing w:val="-1"/>
          <w:lang w:val="hu-HU"/>
        </w:rPr>
      </w:pPr>
      <w:r w:rsidRPr="0014275C">
        <w:rPr>
          <w:rFonts w:cstheme="minorHAnsi"/>
          <w:b/>
          <w:bCs/>
          <w:spacing w:val="-1"/>
          <w:lang w:val="hu-HU"/>
        </w:rPr>
        <w:t>A munkabiztonsági képzések esetén megkülönböztetünk:</w:t>
      </w:r>
    </w:p>
    <w:p w:rsidR="009E1BFC" w:rsidRPr="0014275C" w:rsidRDefault="009E1BFC" w:rsidP="00F55827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b/>
          <w:bCs/>
          <w:spacing w:val="-1"/>
          <w:lang w:val="hu-HU"/>
        </w:rPr>
      </w:pPr>
      <w:r w:rsidRPr="0014275C">
        <w:rPr>
          <w:rFonts w:cstheme="minorHAnsi"/>
          <w:b/>
          <w:bCs/>
          <w:spacing w:val="-1"/>
          <w:lang w:val="hu-HU"/>
        </w:rPr>
        <w:t>előzetes munkavédelmi oktatást</w:t>
      </w:r>
    </w:p>
    <w:p w:rsidR="009E1BFC" w:rsidRPr="0014275C" w:rsidRDefault="009E1BFC" w:rsidP="00F55827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b/>
          <w:bCs/>
          <w:spacing w:val="-1"/>
          <w:lang w:val="hu-HU"/>
        </w:rPr>
      </w:pPr>
      <w:r w:rsidRPr="0014275C">
        <w:rPr>
          <w:rFonts w:cstheme="minorHAnsi"/>
          <w:b/>
          <w:bCs/>
          <w:spacing w:val="-1"/>
          <w:lang w:val="hu-HU"/>
        </w:rPr>
        <w:t>ismétlődő munkavédelmi oktatást</w:t>
      </w:r>
    </w:p>
    <w:p w:rsidR="009E1BFC" w:rsidRPr="0014275C" w:rsidRDefault="009E1BFC" w:rsidP="00F55827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b/>
          <w:bCs/>
          <w:spacing w:val="-1"/>
          <w:lang w:val="hu-HU"/>
        </w:rPr>
      </w:pPr>
      <w:r w:rsidRPr="0014275C">
        <w:rPr>
          <w:rFonts w:cstheme="minorHAnsi"/>
          <w:b/>
          <w:bCs/>
          <w:spacing w:val="-1"/>
          <w:lang w:val="hu-HU"/>
        </w:rPr>
        <w:t>rendkívüli munkavédelmi oktatást</w:t>
      </w:r>
    </w:p>
    <w:p w:rsidR="009E1BFC" w:rsidRPr="0014275C" w:rsidRDefault="009E1BFC" w:rsidP="009E1BFC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b/>
          <w:bCs/>
          <w:spacing w:val="-1"/>
          <w:lang w:val="hu-HU"/>
        </w:rPr>
      </w:pPr>
    </w:p>
    <w:p w:rsidR="00FC7F21" w:rsidRPr="0014275C" w:rsidRDefault="00FC7F21" w:rsidP="00F55827">
      <w:pPr>
        <w:widowControl w:val="0"/>
        <w:autoSpaceDE w:val="0"/>
        <w:autoSpaceDN w:val="0"/>
        <w:adjustRightInd w:val="0"/>
        <w:ind w:left="360" w:right="2"/>
        <w:jc w:val="both"/>
        <w:rPr>
          <w:rFonts w:cs="Calibri"/>
          <w:b/>
          <w:bCs/>
          <w:spacing w:val="-1"/>
          <w:lang w:val="hu-HU"/>
        </w:rPr>
      </w:pPr>
      <w:r w:rsidRPr="0014275C">
        <w:rPr>
          <w:rFonts w:cs="Calibri"/>
          <w:b/>
          <w:bCs/>
          <w:spacing w:val="-1"/>
          <w:lang w:val="hu-HU"/>
        </w:rPr>
        <w:t>A fentieken túl figyelmet kell fordítani a speciális oktatási igényekre, mint például a vezetésbiztonsági oktatások, elsősegélynyújtó oktatások, vagy az emelőgép kezelők kötelező oktatása.</w:t>
      </w:r>
    </w:p>
    <w:p w:rsidR="00FC7F21" w:rsidRDefault="00FC7F21" w:rsidP="00BD2FB8">
      <w:pPr>
        <w:widowControl w:val="0"/>
        <w:autoSpaceDE w:val="0"/>
        <w:autoSpaceDN w:val="0"/>
        <w:adjustRightInd w:val="0"/>
        <w:ind w:right="2" w:firstLine="360"/>
        <w:jc w:val="both"/>
        <w:rPr>
          <w:rFonts w:cs="Calibri"/>
          <w:bCs/>
          <w:spacing w:val="-1"/>
          <w:lang w:val="hu-HU"/>
        </w:rPr>
      </w:pPr>
      <w:r w:rsidRPr="0014275C">
        <w:rPr>
          <w:rFonts w:cs="Calibri"/>
          <w:b/>
          <w:bCs/>
          <w:spacing w:val="-1"/>
          <w:lang w:val="hu-HU"/>
        </w:rPr>
        <w:t>Javasolt, hogy a munkavédelmi oktatások rendjét minden társaság saját szabályozásában rögzítse.</w:t>
      </w:r>
    </w:p>
    <w:p w:rsidR="00FC7F21" w:rsidRDefault="00FC7F21" w:rsidP="00F55827">
      <w:pPr>
        <w:widowControl w:val="0"/>
        <w:autoSpaceDE w:val="0"/>
        <w:autoSpaceDN w:val="0"/>
        <w:adjustRightInd w:val="0"/>
        <w:ind w:left="360" w:right="2"/>
        <w:jc w:val="both"/>
        <w:rPr>
          <w:rFonts w:cs="Calibri"/>
          <w:bCs/>
          <w:spacing w:val="-1"/>
          <w:lang w:val="hu-HU"/>
        </w:rPr>
      </w:pPr>
      <w:r>
        <w:rPr>
          <w:rFonts w:cs="Calibri"/>
          <w:bCs/>
          <w:spacing w:val="-1"/>
          <w:lang w:val="hu-HU"/>
        </w:rPr>
        <w:t>Az egyes oktatások időtartamát a munkakör kockázatai, illetve az elsajátítandó tudás nagysága alapján kell meghatározni.</w:t>
      </w:r>
    </w:p>
    <w:p w:rsidR="009E1BFC" w:rsidRPr="009E1BFC" w:rsidRDefault="009E1BFC" w:rsidP="00F55827">
      <w:pPr>
        <w:widowControl w:val="0"/>
        <w:autoSpaceDE w:val="0"/>
        <w:autoSpaceDN w:val="0"/>
        <w:adjustRightInd w:val="0"/>
        <w:ind w:left="360" w:right="2"/>
        <w:jc w:val="both"/>
        <w:rPr>
          <w:rFonts w:cstheme="minorHAnsi"/>
          <w:bCs/>
          <w:spacing w:val="-1"/>
          <w:lang w:val="hu-HU"/>
        </w:rPr>
      </w:pPr>
      <w:r w:rsidRPr="009E1BFC">
        <w:rPr>
          <w:rFonts w:cstheme="minorHAnsi"/>
          <w:bCs/>
          <w:spacing w:val="-1"/>
          <w:lang w:val="hu-HU"/>
        </w:rPr>
        <w:t xml:space="preserve">Az </w:t>
      </w:r>
      <w:r w:rsidRPr="009E1BFC">
        <w:rPr>
          <w:rFonts w:cstheme="minorHAnsi"/>
          <w:b/>
          <w:bCs/>
          <w:i/>
          <w:spacing w:val="-1"/>
          <w:lang w:val="hu-HU"/>
        </w:rPr>
        <w:t>előzetes</w:t>
      </w:r>
      <w:r w:rsidRPr="009E1BFC">
        <w:rPr>
          <w:rFonts w:cstheme="minorHAnsi"/>
          <w:bCs/>
          <w:spacing w:val="-1"/>
          <w:lang w:val="hu-HU"/>
        </w:rPr>
        <w:t xml:space="preserve"> oktatások során az újfelvételes munkavállalókat az alábbi tematika figyelembevételével javasoljuk oktatásban részesíteni: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lastRenderedPageBreak/>
        <w:t>a társaság munkavédelmi politikája/stratégiája;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 xml:space="preserve">a munkavégzés sajátosságai, veszélyei és kockázatai 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balesetek, sérülések és megbetegedések megelőzésére vonatkozó szabályok</w:t>
      </w:r>
    </w:p>
    <w:p w:rsidR="009E1BFC" w:rsidRDefault="009E1BFC" w:rsidP="00F5582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munkavállalóra vonatkozó szabályok és eljárások;</w:t>
      </w:r>
    </w:p>
    <w:p w:rsidR="00FC7F21" w:rsidRPr="00FC7F21" w:rsidRDefault="00FC7F21" w:rsidP="00F5582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alapvető munkaegészségügyi ismeretek</w:t>
      </w:r>
    </w:p>
    <w:p w:rsidR="009E1BFC" w:rsidRDefault="009E1BFC" w:rsidP="00F55827">
      <w:pPr>
        <w:pStyle w:val="Listaszerbekezds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munkavédelmi érdekképviselet szerepe, feladata</w:t>
      </w:r>
    </w:p>
    <w:p w:rsidR="009E1BFC" w:rsidRPr="009E1BFC" w:rsidRDefault="009E1BFC" w:rsidP="009E1BFC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cstheme="minorHAnsi"/>
          <w:lang w:val="hu-HU"/>
        </w:rPr>
      </w:pPr>
    </w:p>
    <w:p w:rsidR="009E1BFC" w:rsidRPr="009E1BFC" w:rsidRDefault="009E1BFC" w:rsidP="00F55827">
      <w:pPr>
        <w:widowControl w:val="0"/>
        <w:autoSpaceDE w:val="0"/>
        <w:autoSpaceDN w:val="0"/>
        <w:adjustRightInd w:val="0"/>
        <w:ind w:right="2" w:firstLine="360"/>
        <w:jc w:val="both"/>
        <w:rPr>
          <w:rFonts w:cstheme="minorHAnsi"/>
          <w:bCs/>
          <w:spacing w:val="-1"/>
          <w:lang w:val="hu-HU"/>
        </w:rPr>
      </w:pPr>
      <w:r w:rsidRPr="009E1BFC">
        <w:rPr>
          <w:rFonts w:cstheme="minorHAnsi"/>
          <w:bCs/>
          <w:spacing w:val="-1"/>
          <w:lang w:val="hu-HU"/>
        </w:rPr>
        <w:t xml:space="preserve">Az </w:t>
      </w:r>
      <w:r w:rsidRPr="009E1BFC">
        <w:rPr>
          <w:rFonts w:cstheme="minorHAnsi"/>
          <w:b/>
          <w:bCs/>
          <w:i/>
          <w:spacing w:val="-1"/>
          <w:lang w:val="hu-HU"/>
        </w:rPr>
        <w:t>ismétlődő</w:t>
      </w:r>
      <w:r w:rsidRPr="009E1BFC">
        <w:rPr>
          <w:rFonts w:cstheme="minorHAnsi"/>
          <w:bCs/>
          <w:spacing w:val="-1"/>
          <w:lang w:val="hu-HU"/>
        </w:rPr>
        <w:t xml:space="preserve"> oktatásokhoz javasolt minden évben oktatási tematika, illetve oktatási terv készítése.</w:t>
      </w:r>
    </w:p>
    <w:p w:rsidR="009E1BFC" w:rsidRPr="0014275C" w:rsidRDefault="009E1BFC" w:rsidP="00F55827">
      <w:pPr>
        <w:widowControl w:val="0"/>
        <w:autoSpaceDE w:val="0"/>
        <w:autoSpaceDN w:val="0"/>
        <w:adjustRightInd w:val="0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14275C">
        <w:rPr>
          <w:rFonts w:cstheme="minorHAnsi"/>
          <w:b/>
          <w:bCs/>
          <w:spacing w:val="-1"/>
          <w:lang w:val="hu-HU"/>
        </w:rPr>
        <w:t xml:space="preserve">Már az éves oktatási tematika készítésénél figyelembe kell venni az eltérő munkakörök igényeit. Célszerű külön tematikát kidolgozni a fizikai munkavállalókra, a műszaki végzettségű, de nem fizikai munkát végző munkavállalókra, a kizárólag adminisztratív tevékenységet végző munkavállalókra, illetve azokra a </w:t>
      </w:r>
      <w:r w:rsidR="00F55827" w:rsidRPr="0014275C">
        <w:rPr>
          <w:rFonts w:cstheme="minorHAnsi"/>
          <w:b/>
          <w:bCs/>
          <w:spacing w:val="-1"/>
          <w:lang w:val="hu-HU"/>
        </w:rPr>
        <w:t>munkavállalókra,</w:t>
      </w:r>
      <w:r w:rsidRPr="0014275C">
        <w:rPr>
          <w:rFonts w:cstheme="minorHAnsi"/>
          <w:b/>
          <w:bCs/>
          <w:spacing w:val="-1"/>
          <w:lang w:val="hu-HU"/>
        </w:rPr>
        <w:t xml:space="preserve"> akikre a jogszabályok speciális képzési követelményeket írnak elő. A tematikában meg kell határozni az egyes oktatások formáját (elméleti, gyakorlati), illetve időigényét. </w:t>
      </w:r>
    </w:p>
    <w:p w:rsidR="009E1BFC" w:rsidRPr="009E1BFC" w:rsidRDefault="00F55827" w:rsidP="009E1BFC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ab/>
      </w:r>
      <w:r w:rsidR="009E1BFC" w:rsidRPr="009E1BFC">
        <w:rPr>
          <w:rFonts w:cstheme="minorHAnsi"/>
          <w:lang w:val="hu-HU"/>
        </w:rPr>
        <w:t>Az egyes oktatási tematikákat az alábbi alapelvek figyelembevételével javasoljuk összeállítani:</w:t>
      </w:r>
    </w:p>
    <w:p w:rsidR="009E1BFC" w:rsidRDefault="00F55827" w:rsidP="00F5582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>
        <w:rPr>
          <w:rFonts w:cstheme="minorHAnsi"/>
          <w:lang w:val="hu-HU"/>
        </w:rPr>
        <w:tab/>
      </w:r>
      <w:r w:rsidR="009E1BFC" w:rsidRPr="00F55827">
        <w:rPr>
          <w:rFonts w:cstheme="minorHAnsi"/>
          <w:lang w:val="hu-HU"/>
        </w:rPr>
        <w:t xml:space="preserve">Az </w:t>
      </w:r>
      <w:r w:rsidR="001956E3" w:rsidRPr="00F55827">
        <w:rPr>
          <w:rFonts w:cstheme="minorHAnsi"/>
          <w:lang w:val="hu-HU"/>
        </w:rPr>
        <w:t>oktatások során a</w:t>
      </w:r>
      <w:r w:rsidR="009E1BFC" w:rsidRPr="00F55827">
        <w:rPr>
          <w:rFonts w:cstheme="minorHAnsi"/>
          <w:lang w:val="hu-HU"/>
        </w:rPr>
        <w:t xml:space="preserve"> munkavállalók szerezzenek értékes elméleti és gyakorlati tudást:</w:t>
      </w:r>
    </w:p>
    <w:p w:rsidR="00F55827" w:rsidRPr="00F55827" w:rsidRDefault="00F55827" w:rsidP="00F5582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 xml:space="preserve">a villamosság kockázatairól, azok elkerüléséről  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kockázatok felismeréséről, értékeléséről, azok elkerüléséről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balesetek, sérülések és megbetegedések megelőzésének elveiről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munkahelyek speciális biztonsági követelményeiről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gépek, berendezések, munkaeszközök eszközök biztonságos használatáról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az egyéni védőeszközök szabályos használatáról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vészhelyzetek kezeléséről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biztonsági jelzésekről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munkavédelemmel kapcsolatos jogaikról, kötelezettségeikről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felhasznált vegyi anyagok biztonságáról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képernyő előtti munkavégzés követelményeiről</w:t>
      </w:r>
    </w:p>
    <w:p w:rsidR="009E1BFC" w:rsidRP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a stressz kezeléséről</w:t>
      </w:r>
    </w:p>
    <w:p w:rsidR="009E1BFC" w:rsidRDefault="009E1BFC" w:rsidP="00F55827">
      <w:pPr>
        <w:pStyle w:val="Listaszerbekezds"/>
        <w:widowControl w:val="0"/>
        <w:numPr>
          <w:ilvl w:val="0"/>
          <w:numId w:val="27"/>
        </w:numPr>
        <w:tabs>
          <w:tab w:val="left" w:pos="640"/>
        </w:tabs>
        <w:autoSpaceDE w:val="0"/>
        <w:autoSpaceDN w:val="0"/>
        <w:adjustRightInd w:val="0"/>
        <w:spacing w:after="0" w:line="240" w:lineRule="auto"/>
        <w:rPr>
          <w:rFonts w:cstheme="minorHAnsi"/>
          <w:lang w:val="hu-HU"/>
        </w:rPr>
      </w:pPr>
      <w:r w:rsidRPr="009E1BFC">
        <w:rPr>
          <w:rFonts w:cstheme="minorHAnsi"/>
          <w:lang w:val="hu-HU"/>
        </w:rPr>
        <w:t>biológiai kockázatokról, azok elkerüléséről</w:t>
      </w:r>
    </w:p>
    <w:p w:rsidR="00FC7F21" w:rsidRPr="00FC7F21" w:rsidRDefault="00FC7F21" w:rsidP="00F55827">
      <w:pPr>
        <w:pStyle w:val="Listaszerbekezds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alapvető munkaegészségügyi ismeretek</w:t>
      </w:r>
    </w:p>
    <w:p w:rsidR="009E1BFC" w:rsidRPr="009E1BFC" w:rsidRDefault="009E1BFC" w:rsidP="009E1BFC">
      <w:pPr>
        <w:pStyle w:val="Listaszerbekezds"/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lang w:val="hu-HU"/>
        </w:rPr>
      </w:pPr>
    </w:p>
    <w:p w:rsidR="009E1BFC" w:rsidRPr="009E1BFC" w:rsidRDefault="00326D1D" w:rsidP="00326D1D">
      <w:pPr>
        <w:pStyle w:val="Listaszerbekezds"/>
        <w:widowControl w:val="0"/>
        <w:tabs>
          <w:tab w:val="left" w:pos="640"/>
        </w:tabs>
        <w:autoSpaceDE w:val="0"/>
        <w:autoSpaceDN w:val="0"/>
        <w:adjustRightInd w:val="0"/>
        <w:ind w:left="36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ab/>
      </w:r>
      <w:r w:rsidR="009E1BFC" w:rsidRPr="009E1BFC">
        <w:rPr>
          <w:rFonts w:cstheme="minorHAnsi"/>
          <w:lang w:val="hu-HU"/>
        </w:rPr>
        <w:t>A munkáltatónak biztosítania kell, hogy minden munkavállaló a szükséges munkavédelmi tudás birtokában legyen a foglalkoztatás teljes időtartama alatt.</w:t>
      </w:r>
    </w:p>
    <w:p w:rsidR="009E1BFC" w:rsidRPr="0014275C" w:rsidRDefault="009E1BFC" w:rsidP="00326D1D">
      <w:pPr>
        <w:ind w:firstLine="360"/>
        <w:rPr>
          <w:rFonts w:cstheme="minorHAnsi"/>
          <w:b/>
          <w:lang w:val="hu-HU"/>
        </w:rPr>
      </w:pPr>
      <w:r w:rsidRPr="0014275C">
        <w:rPr>
          <w:rFonts w:cstheme="minorHAnsi"/>
          <w:b/>
          <w:lang w:val="hu-HU"/>
        </w:rPr>
        <w:t xml:space="preserve">Javasolt a </w:t>
      </w:r>
      <w:r w:rsidRPr="0014275C">
        <w:rPr>
          <w:rFonts w:cstheme="minorHAnsi"/>
          <w:b/>
          <w:i/>
          <w:lang w:val="hu-HU"/>
        </w:rPr>
        <w:t xml:space="preserve">rendkívüli </w:t>
      </w:r>
      <w:r w:rsidRPr="0014275C">
        <w:rPr>
          <w:rFonts w:cstheme="minorHAnsi"/>
          <w:b/>
          <w:lang w:val="hu-HU"/>
        </w:rPr>
        <w:t>mun</w:t>
      </w:r>
      <w:r w:rsidR="0014275C" w:rsidRPr="0014275C">
        <w:rPr>
          <w:rFonts w:cstheme="minorHAnsi"/>
          <w:b/>
          <w:lang w:val="hu-HU"/>
        </w:rPr>
        <w:t>kavédelmi oktatások elrendelése</w:t>
      </w:r>
      <w:r w:rsidRPr="0014275C">
        <w:rPr>
          <w:rFonts w:cstheme="minorHAnsi"/>
          <w:b/>
          <w:lang w:val="hu-HU"/>
        </w:rPr>
        <w:t>:</w:t>
      </w:r>
    </w:p>
    <w:p w:rsidR="009E1BFC" w:rsidRPr="0014275C" w:rsidRDefault="009E1BFC" w:rsidP="00326D1D">
      <w:pPr>
        <w:pStyle w:val="felsorol"/>
        <w:numPr>
          <w:ilvl w:val="0"/>
          <w:numId w:val="33"/>
        </w:numPr>
        <w:tabs>
          <w:tab w:val="left" w:pos="1134"/>
        </w:tabs>
        <w:spacing w:after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14275C">
        <w:rPr>
          <w:rFonts w:asciiTheme="minorHAnsi" w:hAnsiTheme="minorHAnsi" w:cstheme="minorHAnsi"/>
          <w:color w:val="auto"/>
          <w:sz w:val="22"/>
          <w:szCs w:val="22"/>
          <w:lang w:val="hu-HU"/>
        </w:rPr>
        <w:t>munkavédelmi előírások lényeges megváltozása esetén,</w:t>
      </w:r>
    </w:p>
    <w:p w:rsidR="009E1BFC" w:rsidRPr="0014275C" w:rsidRDefault="009E1BFC" w:rsidP="00326D1D">
      <w:pPr>
        <w:pStyle w:val="felsorol"/>
        <w:numPr>
          <w:ilvl w:val="0"/>
          <w:numId w:val="33"/>
        </w:numPr>
        <w:tabs>
          <w:tab w:val="left" w:pos="1134"/>
        </w:tabs>
        <w:spacing w:after="0"/>
        <w:rPr>
          <w:rFonts w:asciiTheme="minorHAnsi" w:hAnsiTheme="minorHAnsi" w:cstheme="minorHAnsi"/>
          <w:color w:val="auto"/>
          <w:sz w:val="22"/>
          <w:szCs w:val="22"/>
          <w:lang w:val="hu-HU"/>
        </w:rPr>
      </w:pPr>
      <w:r w:rsidRPr="0014275C">
        <w:rPr>
          <w:rFonts w:asciiTheme="minorHAnsi" w:hAnsiTheme="minorHAnsi" w:cstheme="minorHAnsi"/>
          <w:color w:val="auto"/>
          <w:sz w:val="22"/>
          <w:szCs w:val="22"/>
          <w:lang w:val="hu-HU"/>
        </w:rPr>
        <w:t xml:space="preserve">ha a Társaság területén súlyos munkabaleset történt </w:t>
      </w:r>
    </w:p>
    <w:p w:rsidR="0014275C" w:rsidRPr="009E1BFC" w:rsidRDefault="0014275C" w:rsidP="0014275C">
      <w:pPr>
        <w:pStyle w:val="felsorol"/>
        <w:tabs>
          <w:tab w:val="left" w:pos="1134"/>
        </w:tabs>
        <w:spacing w:after="0"/>
        <w:ind w:left="720" w:firstLine="0"/>
        <w:rPr>
          <w:rFonts w:asciiTheme="minorHAnsi" w:hAnsiTheme="minorHAnsi" w:cstheme="minorHAnsi"/>
          <w:b w:val="0"/>
          <w:color w:val="auto"/>
          <w:sz w:val="22"/>
          <w:szCs w:val="22"/>
          <w:lang w:val="hu-HU"/>
        </w:rPr>
      </w:pPr>
    </w:p>
    <w:p w:rsidR="009E1BFC" w:rsidRPr="009E1BFC" w:rsidRDefault="00326D1D" w:rsidP="00326D1D">
      <w:pPr>
        <w:widowControl w:val="0"/>
        <w:tabs>
          <w:tab w:val="left" w:pos="640"/>
        </w:tabs>
        <w:autoSpaceDE w:val="0"/>
        <w:autoSpaceDN w:val="0"/>
        <w:adjustRightInd w:val="0"/>
        <w:ind w:left="360"/>
        <w:jc w:val="both"/>
        <w:rPr>
          <w:rFonts w:cstheme="minorHAnsi"/>
          <w:lang w:val="hu-HU"/>
        </w:rPr>
      </w:pPr>
      <w:r>
        <w:rPr>
          <w:rFonts w:cstheme="minorHAnsi"/>
          <w:lang w:val="hu-HU"/>
        </w:rPr>
        <w:tab/>
      </w:r>
      <w:r w:rsidR="009E1BFC" w:rsidRPr="009E1BFC">
        <w:rPr>
          <w:rFonts w:cstheme="minorHAnsi"/>
          <w:lang w:val="hu-HU"/>
        </w:rPr>
        <w:t>Amennyiben a társaság külső vállalkozókat is igénybe vesz, akkor javasolt, hogy szervezzen oktatást, konzultációt a vállalkozók részére a társaság munkavégzéssel kapcsolatos munkabiztonsági követelményeiről, elvárásairól.</w:t>
      </w:r>
    </w:p>
    <w:p w:rsidR="009E1BFC" w:rsidRPr="00326D1D" w:rsidRDefault="00326D1D" w:rsidP="009E1BFC">
      <w:pPr>
        <w:widowControl w:val="0"/>
        <w:tabs>
          <w:tab w:val="left" w:pos="640"/>
        </w:tabs>
        <w:autoSpaceDE w:val="0"/>
        <w:autoSpaceDN w:val="0"/>
        <w:adjustRightInd w:val="0"/>
        <w:jc w:val="both"/>
        <w:rPr>
          <w:rFonts w:cstheme="minorHAnsi"/>
          <w:b/>
          <w:lang w:val="hu-HU"/>
        </w:rPr>
      </w:pPr>
      <w:r>
        <w:rPr>
          <w:rFonts w:cstheme="minorHAnsi"/>
          <w:b/>
          <w:lang w:val="hu-HU"/>
        </w:rPr>
        <w:tab/>
      </w:r>
      <w:r w:rsidR="009E1BFC" w:rsidRPr="0014275C">
        <w:rPr>
          <w:rFonts w:cstheme="minorHAnsi"/>
          <w:b/>
          <w:lang w:val="hu-HU"/>
        </w:rPr>
        <w:t xml:space="preserve">Javasolt továbbá, hogy a vállalkozók részére a társaság munkavédelemre vonatkozó szabályai </w:t>
      </w:r>
      <w:r w:rsidR="009E1BFC" w:rsidRPr="00326D1D">
        <w:rPr>
          <w:rFonts w:cstheme="minorHAnsi"/>
          <w:b/>
          <w:lang w:val="hu-HU"/>
        </w:rPr>
        <w:t xml:space="preserve">folyamatosan elérhetőek legyenek. </w:t>
      </w:r>
    </w:p>
    <w:p w:rsidR="009E1BFC" w:rsidRPr="00326D1D" w:rsidRDefault="009E1BFC" w:rsidP="009E1BFC">
      <w:pPr>
        <w:widowControl w:val="0"/>
        <w:autoSpaceDE w:val="0"/>
        <w:autoSpaceDN w:val="0"/>
        <w:adjustRightInd w:val="0"/>
        <w:jc w:val="both"/>
        <w:rPr>
          <w:rFonts w:cstheme="minorHAnsi"/>
          <w:spacing w:val="-1"/>
          <w:lang w:val="hu-HU"/>
        </w:rPr>
      </w:pPr>
      <w:r w:rsidRPr="00326D1D">
        <w:rPr>
          <w:rFonts w:cstheme="minorHAnsi"/>
          <w:spacing w:val="-1"/>
          <w:lang w:val="hu-HU"/>
        </w:rPr>
        <w:t xml:space="preserve">A képzések és a számonkérés módszerét javasolt az oktatási tematika kidolgozásánál meghatározni.  </w:t>
      </w:r>
    </w:p>
    <w:p w:rsidR="009E1BFC" w:rsidRPr="00326D1D" w:rsidRDefault="009E1BFC" w:rsidP="009E1BFC">
      <w:pPr>
        <w:widowControl w:val="0"/>
        <w:autoSpaceDE w:val="0"/>
        <w:autoSpaceDN w:val="0"/>
        <w:adjustRightInd w:val="0"/>
        <w:jc w:val="both"/>
        <w:rPr>
          <w:rFonts w:cstheme="minorHAnsi"/>
          <w:spacing w:val="-1"/>
          <w:lang w:val="hu-HU"/>
        </w:rPr>
      </w:pPr>
      <w:r w:rsidRPr="00326D1D">
        <w:rPr>
          <w:rFonts w:cstheme="minorHAnsi"/>
          <w:spacing w:val="-1"/>
          <w:lang w:val="hu-HU"/>
        </w:rPr>
        <w:lastRenderedPageBreak/>
        <w:t>A képzés módszerének meghatározásakor szem előtt kell tartani, hogy problémamegoldást segítő tudásra van szükség, hiszen ez a leghatékonyabb a munkabiztonságot érintő problémák kezelésére.</w:t>
      </w:r>
    </w:p>
    <w:p w:rsidR="00F55827" w:rsidRPr="00F55827" w:rsidRDefault="00281603" w:rsidP="00F55827">
      <w:pPr>
        <w:pStyle w:val="Cmsor2"/>
        <w:numPr>
          <w:ilvl w:val="1"/>
          <w:numId w:val="1"/>
        </w:numPr>
        <w:rPr>
          <w:lang w:val="hu-HU"/>
        </w:rPr>
      </w:pPr>
      <w:bookmarkStart w:id="5" w:name="_Toc422487937"/>
      <w:r w:rsidRPr="006A17D2">
        <w:rPr>
          <w:lang w:val="hu-HU"/>
        </w:rPr>
        <w:t>A munkavállalói képviselők képzése</w:t>
      </w:r>
      <w:bookmarkEnd w:id="5"/>
    </w:p>
    <w:p w:rsidR="004372F1" w:rsidRPr="004372F1" w:rsidRDefault="000824E4" w:rsidP="004372F1">
      <w:pPr>
        <w:spacing w:before="240"/>
        <w:jc w:val="both"/>
        <w:rPr>
          <w:rFonts w:eastAsia="Calibri"/>
          <w:b/>
          <w:lang w:val="hu-HU"/>
        </w:rPr>
      </w:pPr>
      <w:r>
        <w:rPr>
          <w:b/>
          <w:lang w:val="hu-HU"/>
        </w:rPr>
        <w:t xml:space="preserve"> </w:t>
      </w:r>
      <w:r w:rsidR="003D2B26">
        <w:rPr>
          <w:b/>
          <w:lang w:val="hu-HU"/>
        </w:rPr>
        <w:t>A</w:t>
      </w:r>
      <w:r w:rsidR="004372F1" w:rsidRPr="004372F1">
        <w:rPr>
          <w:b/>
          <w:lang w:val="hu-HU"/>
        </w:rPr>
        <w:t>z Mvt. és kapcsolódó jogszabályok biztosította széles körű jogosítványokkal a képviselők partnerként csak akkor tudnak élni, ha megfelelő jogi, érdekérvényesítési, munkabiztonsági, munkaegészségügyi</w:t>
      </w:r>
      <w:proofErr w:type="gramStart"/>
      <w:r w:rsidR="004372F1" w:rsidRPr="004372F1">
        <w:rPr>
          <w:b/>
          <w:lang w:val="hu-HU"/>
        </w:rPr>
        <w:t>,  kommunikációs</w:t>
      </w:r>
      <w:proofErr w:type="gramEnd"/>
      <w:r w:rsidR="004372F1" w:rsidRPr="004372F1">
        <w:rPr>
          <w:b/>
          <w:lang w:val="hu-HU"/>
        </w:rPr>
        <w:t>, eljárási, stb. ismeretekkel rendelkeznek, és azok rendszeres</w:t>
      </w:r>
      <w:r w:rsidR="004372F1">
        <w:rPr>
          <w:b/>
          <w:lang w:val="hu-HU"/>
        </w:rPr>
        <w:t>en</w:t>
      </w:r>
      <w:r w:rsidR="004372F1" w:rsidRPr="004372F1">
        <w:rPr>
          <w:b/>
          <w:lang w:val="hu-HU"/>
        </w:rPr>
        <w:t xml:space="preserve"> felfrissítésre kerülnek</w:t>
      </w:r>
      <w:r w:rsidR="00E80010">
        <w:rPr>
          <w:b/>
          <w:lang w:val="hu-HU"/>
        </w:rPr>
        <w:t>, ezért rendszeres képzésükre, továbbképzésükre van szükség.</w:t>
      </w:r>
    </w:p>
    <w:p w:rsidR="00871844" w:rsidRPr="00871844" w:rsidRDefault="00871844" w:rsidP="00871844">
      <w:pPr>
        <w:spacing w:before="240"/>
        <w:rPr>
          <w:b/>
          <w:lang w:val="hu-HU"/>
        </w:rPr>
      </w:pPr>
      <w:r w:rsidRPr="00871844">
        <w:rPr>
          <w:b/>
          <w:lang w:val="hu-HU"/>
        </w:rPr>
        <w:t>Ajánlott képzési időtartam 16 óra/ év</w:t>
      </w:r>
      <w:r w:rsidR="00E80010">
        <w:rPr>
          <w:b/>
          <w:lang w:val="hu-HU"/>
        </w:rPr>
        <w:t>.</w:t>
      </w:r>
    </w:p>
    <w:p w:rsidR="00EF1577" w:rsidRPr="00095500" w:rsidRDefault="00EF1577" w:rsidP="00095500">
      <w:pPr>
        <w:spacing w:before="240"/>
        <w:rPr>
          <w:b/>
          <w:lang w:val="hu-HU"/>
        </w:rPr>
      </w:pPr>
      <w:r w:rsidRPr="00095500">
        <w:rPr>
          <w:b/>
          <w:lang w:val="hu-HU"/>
        </w:rPr>
        <w:t xml:space="preserve">Képzési tematika ajánlott tartalmi elemei: 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Munkavédelmei képviselők választása, feladatai, jogai és eljárási lehetőségei, munkajogi védettsége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Munkavédelmi bizottság ügyrendje, feladatterve, „Együttműködési megállapodás”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Munkavédelmi érdekegyeztetés, a Paritásos Munkavédelmi Testület feladatai.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Együttműködés a munkáltatóval, a munkabiztonsági, foglalkozás-egészségügyi szakemberekkel, a hatóságokkal, a munkahelyi érdekképviseletekkel.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Alapvető munkaegészségügyi ismeretek, foglalkozási megbetegedések bejelentése, kivizsgálása.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A munkavédelmi kockázatértékelés során adódó munkavédelmi képviselői feladatok.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A védőeszközök kiválasztása, juttatás rendje, a képviselő feladatai az előkészítő munkában, a kiválasztás segítése.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Kommunikációs készségek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Preventív szolgáltatások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A munkabalesetek megelőzésének stratégiája. A munkahelyi balesetek bejelentése, minősítése, részvétel a kivizsgálásában.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A munkavédelmi szabályzat tartalmi elemei, célja, felülvizsgálata.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 xml:space="preserve">Az </w:t>
      </w:r>
      <w:r w:rsidRPr="00871844">
        <w:rPr>
          <w:rFonts w:cstheme="minorHAnsi"/>
          <w:b/>
          <w:bCs/>
          <w:spacing w:val="-1"/>
          <w:lang w:val="hu-HU"/>
        </w:rPr>
        <w:t xml:space="preserve">időszakos </w:t>
      </w:r>
      <w:r w:rsidRPr="000824E4">
        <w:rPr>
          <w:rFonts w:cstheme="minorHAnsi"/>
          <w:b/>
          <w:spacing w:val="-1"/>
          <w:lang w:val="hu-HU"/>
        </w:rPr>
        <w:t>munkavédelmi helyszíni bejárások</w:t>
      </w:r>
      <w:r w:rsidRPr="00871844">
        <w:rPr>
          <w:rFonts w:cstheme="minorHAnsi"/>
          <w:b/>
          <w:bCs/>
          <w:spacing w:val="-1"/>
          <w:lang w:val="hu-HU"/>
        </w:rPr>
        <w:t xml:space="preserve"> megtartása</w:t>
      </w:r>
      <w:r w:rsidRPr="00095500">
        <w:rPr>
          <w:rFonts w:cstheme="minorHAnsi"/>
          <w:b/>
          <w:bCs/>
          <w:spacing w:val="-1"/>
          <w:lang w:val="hu-HU"/>
        </w:rPr>
        <w:t>, dokumentálása.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>Az iparágra jellemző kockázatok megismerése. A jellemző munkabalesetek tanulságai, megelőzésük érdekében foganatosított munkáltatói intézkedések.</w:t>
      </w:r>
    </w:p>
    <w:p w:rsidR="00EF1577" w:rsidRPr="00095500" w:rsidRDefault="00EF1577" w:rsidP="00095500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right="2"/>
        <w:jc w:val="both"/>
        <w:rPr>
          <w:rFonts w:cstheme="minorHAnsi"/>
          <w:b/>
          <w:bCs/>
          <w:spacing w:val="-1"/>
          <w:lang w:val="hu-HU"/>
        </w:rPr>
      </w:pPr>
      <w:r w:rsidRPr="00095500">
        <w:rPr>
          <w:rFonts w:cstheme="minorHAnsi"/>
          <w:b/>
          <w:bCs/>
          <w:spacing w:val="-1"/>
          <w:lang w:val="hu-HU"/>
        </w:rPr>
        <w:t xml:space="preserve">A saját munkáltatóknál végzett tevékenységek (termelés, szolgáltatás, </w:t>
      </w:r>
      <w:proofErr w:type="spellStart"/>
      <w:r w:rsidRPr="00095500">
        <w:rPr>
          <w:rFonts w:cstheme="minorHAnsi"/>
          <w:b/>
          <w:bCs/>
          <w:spacing w:val="-1"/>
          <w:lang w:val="hu-HU"/>
        </w:rPr>
        <w:t>stb</w:t>
      </w:r>
      <w:proofErr w:type="spellEnd"/>
      <w:r w:rsidRPr="00095500">
        <w:rPr>
          <w:rFonts w:cstheme="minorHAnsi"/>
          <w:b/>
          <w:bCs/>
          <w:spacing w:val="-1"/>
          <w:lang w:val="hu-HU"/>
        </w:rPr>
        <w:t>) sajátosságai, kockázatok (</w:t>
      </w:r>
      <w:proofErr w:type="spellStart"/>
      <w:r w:rsidRPr="00095500">
        <w:rPr>
          <w:rFonts w:cstheme="minorHAnsi"/>
          <w:b/>
          <w:bCs/>
          <w:spacing w:val="-1"/>
          <w:lang w:val="hu-HU"/>
        </w:rPr>
        <w:t>pl</w:t>
      </w:r>
      <w:proofErr w:type="spellEnd"/>
      <w:r w:rsidRPr="00095500">
        <w:rPr>
          <w:rFonts w:cstheme="minorHAnsi"/>
          <w:b/>
          <w:bCs/>
          <w:spacing w:val="-1"/>
          <w:lang w:val="hu-HU"/>
        </w:rPr>
        <w:t xml:space="preserve"> beszállási engedély, sugárveszély, egyedül végezhető munkák, időszakos felülvizsgálatok, </w:t>
      </w:r>
      <w:proofErr w:type="spellStart"/>
      <w:r w:rsidRPr="00095500">
        <w:rPr>
          <w:rFonts w:cstheme="minorHAnsi"/>
          <w:b/>
          <w:bCs/>
          <w:spacing w:val="-1"/>
          <w:lang w:val="hu-HU"/>
        </w:rPr>
        <w:t>stb</w:t>
      </w:r>
      <w:proofErr w:type="spellEnd"/>
      <w:r w:rsidRPr="00095500">
        <w:rPr>
          <w:rFonts w:cstheme="minorHAnsi"/>
          <w:b/>
          <w:bCs/>
          <w:spacing w:val="-1"/>
          <w:lang w:val="hu-HU"/>
        </w:rPr>
        <w:t>).</w:t>
      </w:r>
    </w:p>
    <w:p w:rsidR="00864512" w:rsidRDefault="000D759F">
      <w:pPr>
        <w:spacing w:before="120" w:after="120"/>
        <w:jc w:val="both"/>
        <w:rPr>
          <w:b/>
          <w:lang w:val="hu-HU"/>
        </w:rPr>
      </w:pPr>
      <w:r>
        <w:rPr>
          <w:b/>
          <w:lang w:val="hu-HU"/>
        </w:rPr>
        <w:t>A</w:t>
      </w:r>
      <w:r w:rsidR="000906DF">
        <w:rPr>
          <w:b/>
          <w:lang w:val="hu-HU"/>
        </w:rPr>
        <w:t xml:space="preserve">z </w:t>
      </w:r>
      <w:r w:rsidR="00E41FEA">
        <w:rPr>
          <w:b/>
          <w:lang w:val="hu-HU"/>
        </w:rPr>
        <w:t xml:space="preserve">azonos </w:t>
      </w:r>
      <w:r w:rsidR="000906DF">
        <w:rPr>
          <w:b/>
          <w:lang w:val="hu-HU"/>
        </w:rPr>
        <w:t xml:space="preserve">iparágban </w:t>
      </w:r>
      <w:proofErr w:type="gramStart"/>
      <w:r w:rsidR="000906DF">
        <w:rPr>
          <w:b/>
          <w:lang w:val="hu-HU"/>
        </w:rPr>
        <w:t>dolgozó  munkavédelmi</w:t>
      </w:r>
      <w:proofErr w:type="gramEnd"/>
      <w:r w:rsidR="000906DF">
        <w:rPr>
          <w:b/>
          <w:lang w:val="hu-HU"/>
        </w:rPr>
        <w:t xml:space="preserve"> képviselők képzésének, továbbképzésének hatékony módszere lehet az egymás közötti rendszeres információcsere és konzultáció, ezért támogatjuk </w:t>
      </w:r>
      <w:r w:rsidR="00871844" w:rsidRPr="00123AA9">
        <w:rPr>
          <w:b/>
          <w:lang w:val="hu-HU"/>
        </w:rPr>
        <w:t xml:space="preserve"> a</w:t>
      </w:r>
      <w:r w:rsidR="00761F36" w:rsidRPr="00123AA9">
        <w:rPr>
          <w:b/>
          <w:lang w:val="hu-HU"/>
        </w:rPr>
        <w:t xml:space="preserve"> villamosenergia-iparban </w:t>
      </w:r>
      <w:r w:rsidR="00E41FEA">
        <w:rPr>
          <w:b/>
          <w:lang w:val="hu-HU"/>
        </w:rPr>
        <w:t xml:space="preserve">már </w:t>
      </w:r>
      <w:r w:rsidR="00761F36" w:rsidRPr="00123AA9">
        <w:rPr>
          <w:b/>
          <w:lang w:val="hu-HU"/>
        </w:rPr>
        <w:t xml:space="preserve">működő </w:t>
      </w:r>
      <w:r w:rsidR="00871844" w:rsidRPr="00123AA9">
        <w:rPr>
          <w:b/>
          <w:lang w:val="hu-HU"/>
        </w:rPr>
        <w:t xml:space="preserve">Villamosenergia-ipari Munkavédelmi Képviselők Fóruma (VIMFÓ) </w:t>
      </w:r>
      <w:r w:rsidR="00E41FEA">
        <w:rPr>
          <w:b/>
          <w:lang w:val="hu-HU"/>
        </w:rPr>
        <w:t>tevékenységét, amely hozzájárulhat a megelőzésre vonatkozóan a legjobb gyakorlatok elterjedéséhez, a munkáltatók baleseti mutatóinak javulásához.</w:t>
      </w:r>
    </w:p>
    <w:p w:rsidR="00281603" w:rsidRDefault="0028062C" w:rsidP="00761F36">
      <w:pPr>
        <w:pStyle w:val="Cmsor2"/>
        <w:numPr>
          <w:ilvl w:val="1"/>
          <w:numId w:val="1"/>
        </w:numPr>
        <w:rPr>
          <w:lang w:val="hu-HU"/>
        </w:rPr>
      </w:pPr>
      <w:bookmarkStart w:id="6" w:name="_Toc422487938"/>
      <w:r>
        <w:rPr>
          <w:lang w:val="hu-HU"/>
        </w:rPr>
        <w:t>A vezetők és a munkavédelmi szakemberek</w:t>
      </w:r>
      <w:r w:rsidR="00281603" w:rsidRPr="006A17D2">
        <w:rPr>
          <w:lang w:val="hu-HU"/>
        </w:rPr>
        <w:t xml:space="preserve"> képzése</w:t>
      </w:r>
      <w:bookmarkEnd w:id="6"/>
    </w:p>
    <w:p w:rsidR="00F55827" w:rsidRDefault="00F55827" w:rsidP="00761F36">
      <w:pPr>
        <w:jc w:val="both"/>
        <w:rPr>
          <w:rFonts w:cstheme="minorHAnsi"/>
          <w:sz w:val="20"/>
          <w:szCs w:val="20"/>
          <w:lang w:val="hu-HU"/>
        </w:rPr>
      </w:pPr>
    </w:p>
    <w:p w:rsidR="00761F36" w:rsidRPr="00095500" w:rsidRDefault="00761F36" w:rsidP="00761F36">
      <w:pPr>
        <w:jc w:val="both"/>
        <w:rPr>
          <w:rFonts w:cstheme="minorHAnsi"/>
          <w:spacing w:val="-4"/>
          <w:lang w:val="hu-HU"/>
        </w:rPr>
      </w:pPr>
      <w:r w:rsidRPr="00095500">
        <w:rPr>
          <w:rFonts w:cstheme="minorHAnsi"/>
          <w:lang w:val="hu-HU"/>
        </w:rPr>
        <w:t>M</w:t>
      </w:r>
      <w:r w:rsidRPr="00095500">
        <w:rPr>
          <w:rFonts w:cstheme="minorHAnsi"/>
          <w:spacing w:val="-4"/>
          <w:lang w:val="hu-HU"/>
        </w:rPr>
        <w:t xml:space="preserve">eggyőződésünk, hogy a magas szintű egészség és munkahelyi biztonság a </w:t>
      </w:r>
      <w:r w:rsidR="00F55827" w:rsidRPr="00095500">
        <w:rPr>
          <w:rFonts w:cstheme="minorHAnsi"/>
          <w:spacing w:val="-4"/>
          <w:lang w:val="hu-HU"/>
        </w:rPr>
        <w:t>villamos energiai</w:t>
      </w:r>
      <w:r w:rsidRPr="00095500">
        <w:rPr>
          <w:rFonts w:cstheme="minorHAnsi"/>
          <w:spacing w:val="-4"/>
          <w:lang w:val="hu-HU"/>
        </w:rPr>
        <w:t xml:space="preserve"> ágazatban működő vállalatok tevékenységének integráns része. </w:t>
      </w:r>
    </w:p>
    <w:p w:rsidR="00761F36" w:rsidRPr="00095500" w:rsidRDefault="00761F36" w:rsidP="00761F36">
      <w:pPr>
        <w:jc w:val="both"/>
        <w:rPr>
          <w:rFonts w:cstheme="minorHAnsi"/>
          <w:spacing w:val="-4"/>
          <w:lang w:val="hu-HU"/>
        </w:rPr>
      </w:pPr>
      <w:r w:rsidRPr="00095500">
        <w:rPr>
          <w:rFonts w:cstheme="minorHAnsi"/>
          <w:spacing w:val="-4"/>
          <w:lang w:val="hu-HU"/>
        </w:rPr>
        <w:t xml:space="preserve">A társaságok vezetőinek, </w:t>
      </w:r>
      <w:r w:rsidR="002365BF">
        <w:rPr>
          <w:rFonts w:cstheme="minorHAnsi"/>
          <w:spacing w:val="-4"/>
          <w:lang w:val="hu-HU"/>
        </w:rPr>
        <w:t>munkavédelmi szakembereinek kulcsszerepük van abban, hogy a nekik beosztott</w:t>
      </w:r>
      <w:r w:rsidR="001956E3">
        <w:rPr>
          <w:rFonts w:cstheme="minorHAnsi"/>
          <w:spacing w:val="-4"/>
          <w:lang w:val="hu-HU"/>
        </w:rPr>
        <w:t>, általuk</w:t>
      </w:r>
      <w:r w:rsidR="002365BF">
        <w:rPr>
          <w:rFonts w:cstheme="minorHAnsi"/>
          <w:spacing w:val="-4"/>
          <w:lang w:val="hu-HU"/>
        </w:rPr>
        <w:t xml:space="preserve"> irányított munkavállalók</w:t>
      </w:r>
      <w:r w:rsidRPr="00095500">
        <w:rPr>
          <w:rFonts w:cstheme="minorHAnsi"/>
          <w:spacing w:val="-4"/>
          <w:lang w:val="hu-HU"/>
        </w:rPr>
        <w:t xml:space="preserve"> felkészültek le</w:t>
      </w:r>
      <w:r w:rsidR="002365BF">
        <w:rPr>
          <w:rFonts w:cstheme="minorHAnsi"/>
          <w:spacing w:val="-4"/>
          <w:lang w:val="hu-HU"/>
        </w:rPr>
        <w:t>gyenek</w:t>
      </w:r>
      <w:r w:rsidRPr="00095500">
        <w:rPr>
          <w:rFonts w:cstheme="minorHAnsi"/>
          <w:spacing w:val="-4"/>
          <w:lang w:val="hu-HU"/>
        </w:rPr>
        <w:t xml:space="preserve"> az egészség és a munkahelyi biztonság területén,</w:t>
      </w:r>
      <w:r w:rsidR="002365BF">
        <w:rPr>
          <w:rFonts w:cstheme="minorHAnsi"/>
          <w:spacing w:val="-4"/>
          <w:lang w:val="hu-HU"/>
        </w:rPr>
        <w:t xml:space="preserve"> mely kulcsszerepük hatékony betöltését</w:t>
      </w:r>
      <w:r w:rsidRPr="00095500">
        <w:rPr>
          <w:rFonts w:cstheme="minorHAnsi"/>
          <w:spacing w:val="-4"/>
          <w:lang w:val="hu-HU"/>
        </w:rPr>
        <w:t xml:space="preserve"> </w:t>
      </w:r>
      <w:r w:rsidR="001956E3">
        <w:rPr>
          <w:rFonts w:cstheme="minorHAnsi"/>
          <w:spacing w:val="-4"/>
          <w:lang w:val="hu-HU"/>
        </w:rPr>
        <w:t xml:space="preserve">rendszeres </w:t>
      </w:r>
      <w:r w:rsidR="001956E3" w:rsidRPr="00095500">
        <w:rPr>
          <w:rFonts w:cstheme="minorHAnsi"/>
          <w:spacing w:val="-4"/>
          <w:lang w:val="hu-HU"/>
        </w:rPr>
        <w:t>munkavédelmi</w:t>
      </w:r>
      <w:r w:rsidRPr="00095500">
        <w:rPr>
          <w:rFonts w:cstheme="minorHAnsi"/>
          <w:spacing w:val="-4"/>
          <w:lang w:val="hu-HU"/>
        </w:rPr>
        <w:t xml:space="preserve"> képzés</w:t>
      </w:r>
      <w:r w:rsidR="000A3BBB">
        <w:rPr>
          <w:rFonts w:cstheme="minorHAnsi"/>
          <w:spacing w:val="-4"/>
          <w:lang w:val="hu-HU"/>
        </w:rPr>
        <w:t>sel kell támogatni.</w:t>
      </w:r>
    </w:p>
    <w:p w:rsidR="00F55827" w:rsidRPr="00095500" w:rsidRDefault="00F55827" w:rsidP="00F55827">
      <w:pPr>
        <w:spacing w:before="240"/>
        <w:rPr>
          <w:b/>
          <w:lang w:val="hu-HU"/>
        </w:rPr>
      </w:pPr>
      <w:r w:rsidRPr="00095500">
        <w:rPr>
          <w:b/>
          <w:lang w:val="hu-HU"/>
        </w:rPr>
        <w:t xml:space="preserve">Képzési tematika ajánlott tartalmi elemei: </w:t>
      </w:r>
    </w:p>
    <w:p w:rsidR="00761F36" w:rsidRPr="00095500" w:rsidRDefault="00761F36" w:rsidP="00095500">
      <w:pPr>
        <w:pStyle w:val="Listaszerbekezds"/>
        <w:widowControl w:val="0"/>
        <w:numPr>
          <w:ilvl w:val="0"/>
          <w:numId w:val="30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theme="minorHAnsi"/>
          <w:lang w:val="hu-HU"/>
        </w:rPr>
      </w:pPr>
      <w:r w:rsidRPr="00095500">
        <w:rPr>
          <w:rFonts w:cstheme="minorHAnsi"/>
          <w:spacing w:val="-4"/>
          <w:lang w:val="hu-HU"/>
        </w:rPr>
        <w:lastRenderedPageBreak/>
        <w:t>a kockázatok azonosítása, megszüntetése vagy kezelhető szintre csökkentése és ellenőrzése;</w:t>
      </w:r>
    </w:p>
    <w:p w:rsidR="00761F36" w:rsidRPr="00095500" w:rsidRDefault="00761F36" w:rsidP="00095500">
      <w:pPr>
        <w:pStyle w:val="Listaszerbekezds"/>
        <w:widowControl w:val="0"/>
        <w:numPr>
          <w:ilvl w:val="0"/>
          <w:numId w:val="30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theme="minorHAnsi"/>
          <w:lang w:val="hu-HU"/>
        </w:rPr>
      </w:pPr>
      <w:r w:rsidRPr="00095500">
        <w:rPr>
          <w:rFonts w:cstheme="minorHAnsi"/>
          <w:lang w:val="hu-HU"/>
        </w:rPr>
        <w:t>a munkabiztonsági képviselő szerepe a vállalat széleskörű konzultációs mechanizmusában;</w:t>
      </w:r>
    </w:p>
    <w:p w:rsidR="00761F36" w:rsidRPr="00095500" w:rsidRDefault="0028062C" w:rsidP="00095500">
      <w:pPr>
        <w:pStyle w:val="Listaszerbekezds"/>
        <w:widowControl w:val="0"/>
        <w:numPr>
          <w:ilvl w:val="0"/>
          <w:numId w:val="30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theme="minorHAnsi"/>
          <w:b/>
          <w:lang w:val="hu-HU"/>
        </w:rPr>
      </w:pPr>
      <w:r w:rsidRPr="00095500">
        <w:rPr>
          <w:rFonts w:cstheme="minorHAnsi"/>
          <w:b/>
          <w:spacing w:val="-2"/>
          <w:lang w:val="hu-HU"/>
        </w:rPr>
        <w:t>alapvető munkaegészségügyi ismeretek</w:t>
      </w:r>
    </w:p>
    <w:p w:rsidR="00761F36" w:rsidRPr="00095500" w:rsidRDefault="00761F36" w:rsidP="00761F36">
      <w:pPr>
        <w:pStyle w:val="Listaszerbekezds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709" w:right="1420"/>
        <w:jc w:val="both"/>
        <w:rPr>
          <w:rFonts w:cstheme="minorHAnsi"/>
          <w:b/>
          <w:lang w:val="hu-HU"/>
        </w:rPr>
      </w:pPr>
    </w:p>
    <w:p w:rsidR="00761F36" w:rsidRPr="00095500" w:rsidRDefault="00761F36" w:rsidP="00761F36">
      <w:pPr>
        <w:widowControl w:val="0"/>
        <w:tabs>
          <w:tab w:val="left" w:pos="1180"/>
        </w:tabs>
        <w:autoSpaceDE w:val="0"/>
        <w:autoSpaceDN w:val="0"/>
        <w:adjustRightInd w:val="0"/>
        <w:ind w:right="1420"/>
        <w:jc w:val="both"/>
        <w:rPr>
          <w:rFonts w:cstheme="minorHAnsi"/>
          <w:b/>
          <w:lang w:val="hu-HU"/>
        </w:rPr>
      </w:pPr>
      <w:r w:rsidRPr="00095500">
        <w:rPr>
          <w:rFonts w:cstheme="minorHAnsi"/>
          <w:b/>
          <w:spacing w:val="-4"/>
          <w:lang w:val="hu-HU"/>
        </w:rPr>
        <w:t>A képzés eredménye olyan tudás, mely kellő munkabiztonsági ismereteket biztosít:</w:t>
      </w:r>
    </w:p>
    <w:p w:rsidR="0028062C" w:rsidRPr="00095500" w:rsidRDefault="0028062C" w:rsidP="00095500">
      <w:pPr>
        <w:pStyle w:val="Listaszerbekezds"/>
        <w:widowControl w:val="0"/>
        <w:numPr>
          <w:ilvl w:val="0"/>
          <w:numId w:val="31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="Calibri"/>
          <w:b/>
          <w:lang w:val="hu-HU"/>
        </w:rPr>
      </w:pPr>
      <w:r w:rsidRPr="00095500">
        <w:rPr>
          <w:rFonts w:cs="Calibri"/>
          <w:b/>
          <w:spacing w:val="-2"/>
          <w:lang w:val="hu-HU"/>
        </w:rPr>
        <w:t xml:space="preserve">a munkahelyi ellenőrzésekhez, </w:t>
      </w:r>
    </w:p>
    <w:p w:rsidR="0028062C" w:rsidRPr="00095500" w:rsidRDefault="0028062C" w:rsidP="00095500">
      <w:pPr>
        <w:pStyle w:val="Listaszerbekezds"/>
        <w:widowControl w:val="0"/>
        <w:numPr>
          <w:ilvl w:val="0"/>
          <w:numId w:val="31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="Calibri"/>
          <w:b/>
          <w:lang w:val="hu-HU"/>
        </w:rPr>
      </w:pPr>
      <w:r w:rsidRPr="00095500">
        <w:rPr>
          <w:rFonts w:cs="Calibri"/>
          <w:b/>
          <w:spacing w:val="-2"/>
          <w:lang w:val="hu-HU"/>
        </w:rPr>
        <w:t xml:space="preserve">vállalati munkavédelmi célok meghatározásához, </w:t>
      </w:r>
    </w:p>
    <w:p w:rsidR="0028062C" w:rsidRPr="00095500" w:rsidRDefault="0028062C" w:rsidP="00095500">
      <w:pPr>
        <w:pStyle w:val="Listaszerbekezds"/>
        <w:widowControl w:val="0"/>
        <w:numPr>
          <w:ilvl w:val="0"/>
          <w:numId w:val="31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="Calibri"/>
          <w:b/>
          <w:lang w:val="hu-HU"/>
        </w:rPr>
      </w:pPr>
      <w:r w:rsidRPr="00095500">
        <w:rPr>
          <w:rFonts w:cs="Calibri"/>
          <w:b/>
          <w:spacing w:val="-3"/>
          <w:lang w:val="hu-HU"/>
        </w:rPr>
        <w:t>a veszélyek értékeléséhez, a kockázatokat csökkentő intézkedések meghatározásához;</w:t>
      </w:r>
    </w:p>
    <w:p w:rsidR="0028062C" w:rsidRPr="00095500" w:rsidRDefault="0028062C" w:rsidP="00095500">
      <w:pPr>
        <w:pStyle w:val="Listaszerbekezds"/>
        <w:widowControl w:val="0"/>
        <w:numPr>
          <w:ilvl w:val="0"/>
          <w:numId w:val="31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="Calibri"/>
          <w:b/>
          <w:lang w:val="hu-HU"/>
        </w:rPr>
      </w:pPr>
      <w:r w:rsidRPr="00095500">
        <w:rPr>
          <w:rFonts w:cs="Calibri"/>
          <w:b/>
          <w:spacing w:val="-3"/>
          <w:lang w:val="hu-HU"/>
        </w:rPr>
        <w:t>aktív részvételhez a munkabaleseti események kivizsgálásánál</w:t>
      </w:r>
    </w:p>
    <w:p w:rsidR="0028062C" w:rsidRPr="00095500" w:rsidRDefault="0028062C" w:rsidP="00095500">
      <w:pPr>
        <w:pStyle w:val="Listaszerbekezds"/>
        <w:widowControl w:val="0"/>
        <w:numPr>
          <w:ilvl w:val="0"/>
          <w:numId w:val="31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="Calibri"/>
          <w:b/>
          <w:lang w:val="hu-HU"/>
        </w:rPr>
      </w:pPr>
      <w:r w:rsidRPr="00095500">
        <w:rPr>
          <w:rFonts w:cs="Calibri"/>
          <w:b/>
          <w:spacing w:val="-4"/>
          <w:lang w:val="hu-HU"/>
        </w:rPr>
        <w:t>biztonságosabb egészség és munkabiztonsági eljárások kialakításához</w:t>
      </w:r>
    </w:p>
    <w:p w:rsidR="0028062C" w:rsidRPr="00095500" w:rsidRDefault="0028062C" w:rsidP="00095500">
      <w:pPr>
        <w:pStyle w:val="Listaszerbekezds"/>
        <w:widowControl w:val="0"/>
        <w:numPr>
          <w:ilvl w:val="0"/>
          <w:numId w:val="31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="Calibri"/>
          <w:b/>
          <w:lang w:val="hu-HU"/>
        </w:rPr>
      </w:pPr>
      <w:r w:rsidRPr="00095500">
        <w:rPr>
          <w:rFonts w:cs="Calibri"/>
          <w:b/>
          <w:spacing w:val="-4"/>
          <w:lang w:val="hu-HU"/>
        </w:rPr>
        <w:t>hatékony munkavédelmi irányítási rendszer, szervezet fenntartásához.</w:t>
      </w:r>
    </w:p>
    <w:p w:rsidR="0028062C" w:rsidRPr="00095500" w:rsidRDefault="0028062C" w:rsidP="00095500">
      <w:pPr>
        <w:pStyle w:val="Listaszerbekezds"/>
        <w:widowControl w:val="0"/>
        <w:numPr>
          <w:ilvl w:val="0"/>
          <w:numId w:val="31"/>
        </w:numPr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="Calibri"/>
          <w:lang w:val="hu-HU"/>
        </w:rPr>
      </w:pPr>
      <w:r w:rsidRPr="00095500">
        <w:rPr>
          <w:rFonts w:cs="Calibri"/>
          <w:lang w:val="hu-HU"/>
        </w:rPr>
        <w:t>az egészség és munkabiztonság integrációjához a folyamatok minden fázisában a tervezéstől a végrehajtásig és végül a folyamat lezárásáig</w:t>
      </w:r>
    </w:p>
    <w:p w:rsidR="00761F36" w:rsidRPr="00095500" w:rsidRDefault="00761F36" w:rsidP="00761F36">
      <w:pPr>
        <w:pStyle w:val="Listaszerbekezds"/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right="1420"/>
        <w:jc w:val="both"/>
        <w:rPr>
          <w:rFonts w:cstheme="minorHAnsi"/>
          <w:lang w:val="hu-HU"/>
        </w:rPr>
      </w:pPr>
    </w:p>
    <w:p w:rsidR="00761F36" w:rsidRPr="00095500" w:rsidRDefault="00761F36" w:rsidP="00761F3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pacing w:val="-1"/>
          <w:lang w:val="hu-HU"/>
        </w:rPr>
      </w:pPr>
      <w:r w:rsidRPr="00095500">
        <w:rPr>
          <w:rFonts w:cstheme="minorHAnsi"/>
          <w:b/>
          <w:spacing w:val="-1"/>
          <w:lang w:val="hu-HU"/>
        </w:rPr>
        <w:t>Javasolt a vezetők részére képzési program, oktatási tematika kidolgozása, és a képzések rendszeres ismétlése.</w:t>
      </w:r>
    </w:p>
    <w:p w:rsidR="0028062C" w:rsidRPr="00095500" w:rsidRDefault="0028062C" w:rsidP="00761F36">
      <w:pPr>
        <w:widowControl w:val="0"/>
        <w:autoSpaceDE w:val="0"/>
        <w:autoSpaceDN w:val="0"/>
        <w:adjustRightInd w:val="0"/>
        <w:jc w:val="both"/>
        <w:rPr>
          <w:rFonts w:cs="Calibri"/>
          <w:b/>
          <w:spacing w:val="-1"/>
          <w:lang w:val="hu-HU"/>
        </w:rPr>
      </w:pPr>
      <w:r w:rsidRPr="00095500">
        <w:rPr>
          <w:rFonts w:cs="Calibri"/>
          <w:b/>
          <w:spacing w:val="-1"/>
          <w:lang w:val="hu-HU"/>
        </w:rPr>
        <w:t>Az oktatásban érintett minden vezető, munkairányító, aki munkavállalók munkáját irányítja.</w:t>
      </w:r>
    </w:p>
    <w:p w:rsidR="00761F36" w:rsidRPr="00095500" w:rsidRDefault="00761F36" w:rsidP="00761F3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pacing w:val="-1"/>
          <w:lang w:val="hu-HU"/>
        </w:rPr>
      </w:pPr>
      <w:r w:rsidRPr="00095500">
        <w:rPr>
          <w:rFonts w:cstheme="minorHAnsi"/>
          <w:b/>
          <w:spacing w:val="-1"/>
          <w:lang w:val="hu-HU"/>
        </w:rPr>
        <w:t>Az oktatási tematika kialakításánál figyelembe kell venni a különböző szintű felelősséget, ezért tematikájában, terjedelmében más-más képzésre lehet szükség.</w:t>
      </w:r>
    </w:p>
    <w:p w:rsidR="0028062C" w:rsidRPr="00095500" w:rsidRDefault="0028062C" w:rsidP="00761F36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pacing w:val="-1"/>
          <w:lang w:val="hu-HU"/>
        </w:rPr>
      </w:pPr>
      <w:r w:rsidRPr="00095500">
        <w:rPr>
          <w:rFonts w:cs="Calibri"/>
          <w:b/>
          <w:spacing w:val="-1"/>
          <w:lang w:val="hu-HU"/>
        </w:rPr>
        <w:t xml:space="preserve">Az oktatás ajánlott minimális időtartama </w:t>
      </w:r>
      <w:r w:rsidR="006A7C8B">
        <w:rPr>
          <w:rFonts w:cs="Calibri"/>
          <w:b/>
          <w:spacing w:val="-1"/>
          <w:lang w:val="hu-HU"/>
        </w:rPr>
        <w:t xml:space="preserve">évente </w:t>
      </w:r>
      <w:r w:rsidRPr="00095500">
        <w:rPr>
          <w:rFonts w:cs="Calibri"/>
          <w:b/>
          <w:spacing w:val="-1"/>
          <w:lang w:val="hu-HU"/>
        </w:rPr>
        <w:t>2-4 óra.</w:t>
      </w:r>
    </w:p>
    <w:p w:rsidR="00761F36" w:rsidRPr="00095500" w:rsidRDefault="00761F36" w:rsidP="00761F36">
      <w:pPr>
        <w:widowControl w:val="0"/>
        <w:autoSpaceDE w:val="0"/>
        <w:autoSpaceDN w:val="0"/>
        <w:adjustRightInd w:val="0"/>
        <w:jc w:val="both"/>
        <w:rPr>
          <w:rFonts w:cstheme="minorHAnsi"/>
          <w:spacing w:val="-1"/>
          <w:lang w:val="hu-HU"/>
        </w:rPr>
      </w:pPr>
      <w:r w:rsidRPr="00095500">
        <w:rPr>
          <w:rFonts w:cstheme="minorHAnsi"/>
          <w:spacing w:val="-1"/>
          <w:lang w:val="hu-HU"/>
        </w:rPr>
        <w:t xml:space="preserve">A képzések tematikájának </w:t>
      </w:r>
      <w:r w:rsidR="001956E3" w:rsidRPr="00095500">
        <w:rPr>
          <w:rFonts w:cstheme="minorHAnsi"/>
          <w:spacing w:val="-1"/>
          <w:lang w:val="hu-HU"/>
        </w:rPr>
        <w:t>kialakításakor figyelembe</w:t>
      </w:r>
      <w:r w:rsidRPr="00095500">
        <w:rPr>
          <w:rFonts w:cstheme="minorHAnsi"/>
          <w:spacing w:val="-1"/>
          <w:lang w:val="hu-HU"/>
        </w:rPr>
        <w:t xml:space="preserve"> kell venni </w:t>
      </w:r>
      <w:r w:rsidR="00E247F0" w:rsidRPr="00095500">
        <w:rPr>
          <w:rFonts w:cstheme="minorHAnsi"/>
          <w:spacing w:val="-1"/>
          <w:lang w:val="hu-HU"/>
        </w:rPr>
        <w:t>pszicho szociális</w:t>
      </w:r>
      <w:r w:rsidRPr="00095500">
        <w:rPr>
          <w:rFonts w:cstheme="minorHAnsi"/>
          <w:spacing w:val="-1"/>
          <w:lang w:val="hu-HU"/>
        </w:rPr>
        <w:t xml:space="preserve"> tényezőket is.  </w:t>
      </w:r>
    </w:p>
    <w:p w:rsidR="00761F36" w:rsidRPr="00095500" w:rsidRDefault="00761F36" w:rsidP="00761F36">
      <w:pPr>
        <w:widowControl w:val="0"/>
        <w:autoSpaceDE w:val="0"/>
        <w:autoSpaceDN w:val="0"/>
        <w:adjustRightInd w:val="0"/>
        <w:jc w:val="both"/>
        <w:rPr>
          <w:rFonts w:cstheme="minorHAnsi"/>
          <w:spacing w:val="-1"/>
          <w:lang w:val="hu-HU"/>
        </w:rPr>
      </w:pPr>
      <w:r w:rsidRPr="00095500">
        <w:rPr>
          <w:rFonts w:cstheme="minorHAnsi"/>
          <w:b/>
          <w:spacing w:val="-1"/>
          <w:lang w:val="hu-HU"/>
        </w:rPr>
        <w:t>A képzés és a számonkérés módszerét javasolt az oktatási tematika kidolgozásánál meghatározni.</w:t>
      </w:r>
      <w:r w:rsidRPr="00095500">
        <w:rPr>
          <w:rFonts w:cstheme="minorHAnsi"/>
          <w:spacing w:val="-1"/>
          <w:lang w:val="hu-HU"/>
        </w:rPr>
        <w:t xml:space="preserve">  A képzés módszerének meghatározásakor szem előtt kell tartani, hogy problémamegoldást segítő tudásra van szükség, hiszen ez a leghatékonyabb a munkabiztonságot érintő problémák kezelésére.</w:t>
      </w:r>
    </w:p>
    <w:p w:rsidR="00095500" w:rsidRPr="00326D1D" w:rsidRDefault="00761F36" w:rsidP="00326D1D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pacing w:val="-1"/>
          <w:lang w:val="hu-HU"/>
        </w:rPr>
      </w:pPr>
      <w:r w:rsidRPr="00095500">
        <w:rPr>
          <w:rFonts w:cstheme="minorHAnsi"/>
          <w:b/>
          <w:spacing w:val="-1"/>
          <w:lang w:val="hu-HU"/>
        </w:rPr>
        <w:t xml:space="preserve">A társaság munkavédelmi szakembereinek részére javasolt évi legalább 8 órás továbbképzésen való részvétel biztosítása. A továbbképzés témája a munkavédelmi szakember szakterületének, egyéni igényeinek megfelelő legyen. </w:t>
      </w:r>
    </w:p>
    <w:p w:rsidR="006A17D2" w:rsidRDefault="006A17D2" w:rsidP="006A17D2">
      <w:pPr>
        <w:pStyle w:val="Cmsor1"/>
        <w:numPr>
          <w:ilvl w:val="0"/>
          <w:numId w:val="1"/>
        </w:numPr>
        <w:rPr>
          <w:w w:val="102"/>
          <w:lang w:val="hu-HU"/>
        </w:rPr>
      </w:pPr>
      <w:bookmarkStart w:id="7" w:name="_Toc422487939"/>
      <w:r w:rsidRPr="006A17D2">
        <w:rPr>
          <w:lang w:val="hu-HU"/>
        </w:rPr>
        <w:t>melléklet: P</w:t>
      </w:r>
      <w:r w:rsidRPr="006A17D2">
        <w:rPr>
          <w:spacing w:val="-2"/>
          <w:lang w:val="hu-HU"/>
        </w:rPr>
        <w:t>o</w:t>
      </w:r>
      <w:r w:rsidRPr="006A17D2">
        <w:rPr>
          <w:lang w:val="hu-HU"/>
        </w:rPr>
        <w:t>litikai nyilatkozat</w:t>
      </w:r>
      <w:r w:rsidRPr="006A17D2">
        <w:rPr>
          <w:spacing w:val="15"/>
          <w:lang w:val="hu-HU"/>
        </w:rPr>
        <w:t xml:space="preserve"> </w:t>
      </w:r>
      <w:r w:rsidRPr="006A17D2">
        <w:rPr>
          <w:spacing w:val="-1"/>
          <w:lang w:val="hu-HU"/>
        </w:rPr>
        <w:t>E</w:t>
      </w:r>
      <w:r w:rsidRPr="006A17D2">
        <w:rPr>
          <w:spacing w:val="-4"/>
          <w:lang w:val="hu-HU"/>
        </w:rPr>
        <w:t>U</w:t>
      </w:r>
      <w:r w:rsidRPr="006A17D2">
        <w:rPr>
          <w:spacing w:val="-2"/>
          <w:lang w:val="hu-HU"/>
        </w:rPr>
        <w:t>R</w:t>
      </w:r>
      <w:r w:rsidRPr="006A17D2">
        <w:rPr>
          <w:spacing w:val="-1"/>
          <w:lang w:val="hu-HU"/>
        </w:rPr>
        <w:t>ELE</w:t>
      </w:r>
      <w:r w:rsidRPr="006A17D2">
        <w:rPr>
          <w:spacing w:val="-2"/>
          <w:lang w:val="hu-HU"/>
        </w:rPr>
        <w:t>C</w:t>
      </w:r>
      <w:r w:rsidRPr="006A17D2">
        <w:rPr>
          <w:spacing w:val="-1"/>
          <w:lang w:val="hu-HU"/>
        </w:rPr>
        <w:t>T</w:t>
      </w:r>
      <w:r w:rsidRPr="006A17D2">
        <w:rPr>
          <w:spacing w:val="-2"/>
          <w:lang w:val="hu-HU"/>
        </w:rPr>
        <w:t>R</w:t>
      </w:r>
      <w:r w:rsidRPr="006A17D2">
        <w:rPr>
          <w:spacing w:val="-1"/>
          <w:lang w:val="hu-HU"/>
        </w:rPr>
        <w:t>I</w:t>
      </w:r>
      <w:r w:rsidRPr="006A17D2">
        <w:rPr>
          <w:lang w:val="hu-HU"/>
        </w:rPr>
        <w:t>C</w:t>
      </w:r>
      <w:r w:rsidRPr="006A17D2">
        <w:rPr>
          <w:spacing w:val="28"/>
          <w:lang w:val="hu-HU"/>
        </w:rPr>
        <w:t xml:space="preserve"> </w:t>
      </w:r>
      <w:r w:rsidRPr="006A17D2">
        <w:rPr>
          <w:lang w:val="hu-HU"/>
        </w:rPr>
        <w:t>-</w:t>
      </w:r>
      <w:r w:rsidRPr="006A17D2">
        <w:rPr>
          <w:spacing w:val="-2"/>
          <w:lang w:val="hu-HU"/>
        </w:rPr>
        <w:t xml:space="preserve"> </w:t>
      </w:r>
      <w:r w:rsidRPr="006A17D2">
        <w:rPr>
          <w:spacing w:val="-1"/>
          <w:lang w:val="hu-HU"/>
        </w:rPr>
        <w:t>E</w:t>
      </w:r>
      <w:r w:rsidRPr="006A17D2">
        <w:rPr>
          <w:spacing w:val="-6"/>
          <w:lang w:val="hu-HU"/>
        </w:rPr>
        <w:t>P</w:t>
      </w:r>
      <w:r w:rsidRPr="006A17D2">
        <w:rPr>
          <w:lang w:val="hu-HU"/>
        </w:rPr>
        <w:t>SU</w:t>
      </w:r>
      <w:r w:rsidRPr="006A17D2">
        <w:rPr>
          <w:spacing w:val="7"/>
          <w:lang w:val="hu-HU"/>
        </w:rPr>
        <w:t xml:space="preserve"> </w:t>
      </w:r>
      <w:r>
        <w:rPr>
          <w:lang w:val="hu-HU"/>
        </w:rPr>
        <w:t>–</w:t>
      </w:r>
      <w:r w:rsidRPr="006A17D2">
        <w:rPr>
          <w:spacing w:val="-2"/>
          <w:lang w:val="hu-HU"/>
        </w:rPr>
        <w:t xml:space="preserve"> </w:t>
      </w:r>
      <w:r w:rsidRPr="006A17D2">
        <w:rPr>
          <w:spacing w:val="-1"/>
          <w:w w:val="102"/>
          <w:lang w:val="hu-HU"/>
        </w:rPr>
        <w:t>E</w:t>
      </w:r>
      <w:r w:rsidRPr="006A17D2">
        <w:rPr>
          <w:spacing w:val="-4"/>
          <w:w w:val="102"/>
          <w:lang w:val="hu-HU"/>
        </w:rPr>
        <w:t>M</w:t>
      </w:r>
      <w:r w:rsidRPr="006A17D2">
        <w:rPr>
          <w:spacing w:val="-2"/>
          <w:w w:val="102"/>
          <w:lang w:val="hu-HU"/>
        </w:rPr>
        <w:t>C</w:t>
      </w:r>
      <w:r w:rsidRPr="006A17D2">
        <w:rPr>
          <w:spacing w:val="-1"/>
          <w:w w:val="102"/>
          <w:lang w:val="hu-HU"/>
        </w:rPr>
        <w:t>E</w:t>
      </w:r>
      <w:r w:rsidRPr="006A17D2">
        <w:rPr>
          <w:w w:val="102"/>
          <w:lang w:val="hu-HU"/>
        </w:rPr>
        <w:t>F</w:t>
      </w:r>
      <w:bookmarkEnd w:id="7"/>
    </w:p>
    <w:p w:rsidR="004F4571" w:rsidRPr="005677BC" w:rsidRDefault="009B6253" w:rsidP="005677BC">
      <w:pPr>
        <w:pStyle w:val="Cmsor1"/>
        <w:numPr>
          <w:ilvl w:val="0"/>
          <w:numId w:val="1"/>
        </w:numPr>
        <w:rPr>
          <w:lang w:val="hu-HU"/>
        </w:rPr>
      </w:pPr>
      <w:bookmarkStart w:id="8" w:name="_Toc422487940"/>
      <w:r w:rsidRPr="005677BC">
        <w:rPr>
          <w:lang w:val="hu-HU"/>
        </w:rPr>
        <w:t xml:space="preserve">Függelék: </w:t>
      </w:r>
      <w:r w:rsidR="00B30D6E" w:rsidRPr="005677BC">
        <w:rPr>
          <w:lang w:val="hu-HU"/>
        </w:rPr>
        <w:t xml:space="preserve">Megállapodás a Villamosenergia-ipari </w:t>
      </w:r>
      <w:proofErr w:type="spellStart"/>
      <w:r w:rsidR="00B30D6E" w:rsidRPr="005677BC">
        <w:rPr>
          <w:lang w:val="hu-HU"/>
        </w:rPr>
        <w:t>Alágazati</w:t>
      </w:r>
      <w:proofErr w:type="spellEnd"/>
      <w:r w:rsidR="00B30D6E" w:rsidRPr="005677BC">
        <w:rPr>
          <w:lang w:val="hu-HU"/>
        </w:rPr>
        <w:t xml:space="preserve"> Párbeszéd Bizottság szociális partnerei között az EU szintű ágazati szociális párbeszédnek a képzés témakörében létrejött eredményei hazai hasznosulása előse</w:t>
      </w:r>
      <w:bookmarkStart w:id="9" w:name="_GoBack"/>
      <w:bookmarkEnd w:id="9"/>
      <w:r w:rsidR="00B30D6E" w:rsidRPr="005677BC">
        <w:rPr>
          <w:lang w:val="hu-HU"/>
        </w:rPr>
        <w:t>gítésére</w:t>
      </w:r>
      <w:bookmarkEnd w:id="8"/>
    </w:p>
    <w:sectPr w:rsidR="004F4571" w:rsidRPr="005677BC" w:rsidSect="00010C0F">
      <w:footerReference w:type="default" r:id="rId8"/>
      <w:pgSz w:w="12240" w:h="15840"/>
      <w:pgMar w:top="700" w:right="1380" w:bottom="280" w:left="1360" w:header="0" w:footer="541" w:gutter="0"/>
      <w:pgNumType w:start="2"/>
      <w:cols w:space="708" w:equalWidth="0">
        <w:col w:w="9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E9" w:rsidRDefault="00DC18E9" w:rsidP="00CE27D6">
      <w:pPr>
        <w:spacing w:after="0" w:line="240" w:lineRule="auto"/>
      </w:pPr>
      <w:r>
        <w:separator/>
      </w:r>
    </w:p>
  </w:endnote>
  <w:endnote w:type="continuationSeparator" w:id="0">
    <w:p w:rsidR="00DC18E9" w:rsidRDefault="00DC18E9" w:rsidP="00CE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557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61F36" w:rsidRDefault="00761F36">
            <w:pPr>
              <w:pStyle w:val="llb"/>
              <w:jc w:val="center"/>
            </w:pPr>
            <w:r>
              <w:rPr>
                <w:lang w:val="hu-HU"/>
              </w:rPr>
              <w:t xml:space="preserve">Oldal </w:t>
            </w:r>
            <w:r w:rsidR="00D06C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06C8B">
              <w:rPr>
                <w:b/>
                <w:bCs/>
                <w:sz w:val="24"/>
                <w:szCs w:val="24"/>
              </w:rPr>
              <w:fldChar w:fldCharType="separate"/>
            </w:r>
            <w:r w:rsidR="00D86AEC">
              <w:rPr>
                <w:b/>
                <w:bCs/>
                <w:noProof/>
              </w:rPr>
              <w:t>2</w:t>
            </w:r>
            <w:r w:rsidR="00D06C8B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hu-HU"/>
              </w:rPr>
              <w:t xml:space="preserve"> / </w:t>
            </w:r>
            <w:r w:rsidR="000824E4" w:rsidRPr="000824E4">
              <w:rPr>
                <w:b/>
                <w:bCs/>
                <w:noProof/>
              </w:rPr>
              <w:t>9</w:t>
            </w:r>
          </w:p>
        </w:sdtContent>
      </w:sdt>
    </w:sdtContent>
  </w:sdt>
  <w:p w:rsidR="00CE27D6" w:rsidRDefault="00CE27D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E9" w:rsidRDefault="00DC18E9" w:rsidP="00CE27D6">
      <w:pPr>
        <w:spacing w:after="0" w:line="240" w:lineRule="auto"/>
      </w:pPr>
      <w:r>
        <w:separator/>
      </w:r>
    </w:p>
  </w:footnote>
  <w:footnote w:type="continuationSeparator" w:id="0">
    <w:p w:rsidR="00DC18E9" w:rsidRDefault="00DC18E9" w:rsidP="00CE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17"/>
    <w:multiLevelType w:val="hybridMultilevel"/>
    <w:tmpl w:val="23EA198A"/>
    <w:lvl w:ilvl="0" w:tplc="6134A7A0">
      <w:start w:val="10"/>
      <w:numFmt w:val="decimal"/>
      <w:lvlText w:val="%1."/>
      <w:lvlJc w:val="left"/>
      <w:pPr>
        <w:tabs>
          <w:tab w:val="num" w:pos="644"/>
        </w:tabs>
        <w:ind w:left="644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1">
    <w:nsid w:val="036A3258"/>
    <w:multiLevelType w:val="hybridMultilevel"/>
    <w:tmpl w:val="2D125F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19FE"/>
    <w:multiLevelType w:val="hybridMultilevel"/>
    <w:tmpl w:val="959052B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3F6B"/>
    <w:multiLevelType w:val="hybridMultilevel"/>
    <w:tmpl w:val="35B846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473C0"/>
    <w:multiLevelType w:val="hybridMultilevel"/>
    <w:tmpl w:val="4860E9F2"/>
    <w:lvl w:ilvl="0" w:tplc="6D76D8B6">
      <w:start w:val="13"/>
      <w:numFmt w:val="decimal"/>
      <w:lvlText w:val="%1."/>
      <w:lvlJc w:val="left"/>
      <w:pPr>
        <w:tabs>
          <w:tab w:val="num" w:pos="644"/>
        </w:tabs>
        <w:ind w:left="644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5">
    <w:nsid w:val="18C577EE"/>
    <w:multiLevelType w:val="multilevel"/>
    <w:tmpl w:val="6D7225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12696A"/>
    <w:multiLevelType w:val="hybridMultilevel"/>
    <w:tmpl w:val="A9661DB4"/>
    <w:lvl w:ilvl="0" w:tplc="D3449870">
      <w:numFmt w:val="bullet"/>
      <w:lvlText w:val="-"/>
      <w:lvlJc w:val="left"/>
      <w:pPr>
        <w:tabs>
          <w:tab w:val="num" w:pos="1046"/>
        </w:tabs>
        <w:ind w:left="1046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7">
    <w:nsid w:val="1E0A13F8"/>
    <w:multiLevelType w:val="hybridMultilevel"/>
    <w:tmpl w:val="66F4191E"/>
    <w:lvl w:ilvl="0" w:tplc="B222700E">
      <w:start w:val="11"/>
      <w:numFmt w:val="decimal"/>
      <w:lvlText w:val="%1."/>
      <w:lvlJc w:val="left"/>
      <w:pPr>
        <w:tabs>
          <w:tab w:val="num" w:pos="643"/>
        </w:tabs>
        <w:ind w:left="643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8">
    <w:nsid w:val="1F81538C"/>
    <w:multiLevelType w:val="hybridMultilevel"/>
    <w:tmpl w:val="E0D4C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F5AF4"/>
    <w:multiLevelType w:val="hybridMultilevel"/>
    <w:tmpl w:val="265055DC"/>
    <w:lvl w:ilvl="0" w:tplc="AADC5182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DF1101"/>
    <w:multiLevelType w:val="multilevel"/>
    <w:tmpl w:val="6CC41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2022C85"/>
    <w:multiLevelType w:val="hybridMultilevel"/>
    <w:tmpl w:val="67FCA5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B09CC"/>
    <w:multiLevelType w:val="hybridMultilevel"/>
    <w:tmpl w:val="0A1E70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22CD6"/>
    <w:multiLevelType w:val="hybridMultilevel"/>
    <w:tmpl w:val="B08099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D757D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5">
    <w:nsid w:val="4B80448F"/>
    <w:multiLevelType w:val="hybridMultilevel"/>
    <w:tmpl w:val="BC1CF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955C8"/>
    <w:multiLevelType w:val="hybridMultilevel"/>
    <w:tmpl w:val="1F1000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21F"/>
    <w:multiLevelType w:val="hybridMultilevel"/>
    <w:tmpl w:val="35C64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91F72"/>
    <w:multiLevelType w:val="hybridMultilevel"/>
    <w:tmpl w:val="32E00C3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A0BFA"/>
    <w:multiLevelType w:val="hybridMultilevel"/>
    <w:tmpl w:val="711A802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72D8D"/>
    <w:multiLevelType w:val="hybridMultilevel"/>
    <w:tmpl w:val="40767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B2AC2"/>
    <w:multiLevelType w:val="hybridMultilevel"/>
    <w:tmpl w:val="AAC2718A"/>
    <w:lvl w:ilvl="0" w:tplc="D344987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636C0267"/>
    <w:multiLevelType w:val="hybridMultilevel"/>
    <w:tmpl w:val="451A4E36"/>
    <w:lvl w:ilvl="0" w:tplc="AEA45BC6">
      <w:start w:val="2"/>
      <w:numFmt w:val="decimal"/>
      <w:lvlText w:val="%1."/>
      <w:lvlJc w:val="left"/>
      <w:pPr>
        <w:tabs>
          <w:tab w:val="num" w:pos="644"/>
        </w:tabs>
        <w:ind w:left="644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23">
    <w:nsid w:val="66372804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66CC78E2"/>
    <w:multiLevelType w:val="hybridMultilevel"/>
    <w:tmpl w:val="640C84F8"/>
    <w:lvl w:ilvl="0" w:tplc="424CE0F2">
      <w:start w:val="17"/>
      <w:numFmt w:val="decimal"/>
      <w:lvlText w:val="%1."/>
      <w:lvlJc w:val="left"/>
      <w:pPr>
        <w:tabs>
          <w:tab w:val="num" w:pos="644"/>
        </w:tabs>
        <w:ind w:left="644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25">
    <w:nsid w:val="6DB75A43"/>
    <w:multiLevelType w:val="hybridMultilevel"/>
    <w:tmpl w:val="CD64EC62"/>
    <w:lvl w:ilvl="0" w:tplc="45F42D9A">
      <w:start w:val="8"/>
      <w:numFmt w:val="decimal"/>
      <w:lvlText w:val="%1."/>
      <w:lvlJc w:val="left"/>
      <w:pPr>
        <w:tabs>
          <w:tab w:val="num" w:pos="644"/>
        </w:tabs>
        <w:ind w:left="644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26">
    <w:nsid w:val="73F7127F"/>
    <w:multiLevelType w:val="hybridMultilevel"/>
    <w:tmpl w:val="B1661D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55DAD"/>
    <w:multiLevelType w:val="hybridMultilevel"/>
    <w:tmpl w:val="072C9A70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EF85604"/>
    <w:multiLevelType w:val="hybridMultilevel"/>
    <w:tmpl w:val="191A46B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14"/>
  </w:num>
  <w:num w:numId="5">
    <w:abstractNumId w:val="22"/>
  </w:num>
  <w:num w:numId="6">
    <w:abstractNumId w:val="25"/>
  </w:num>
  <w:num w:numId="7">
    <w:abstractNumId w:val="0"/>
  </w:num>
  <w:num w:numId="8">
    <w:abstractNumId w:val="4"/>
  </w:num>
  <w:num w:numId="9">
    <w:abstractNumId w:val="24"/>
  </w:num>
  <w:num w:numId="10">
    <w:abstractNumId w:val="21"/>
  </w:num>
  <w:num w:numId="11">
    <w:abstractNumId w:val="6"/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18"/>
  </w:num>
  <w:num w:numId="17">
    <w:abstractNumId w:val="14"/>
  </w:num>
  <w:num w:numId="18">
    <w:abstractNumId w:val="13"/>
  </w:num>
  <w:num w:numId="19">
    <w:abstractNumId w:val="15"/>
  </w:num>
  <w:num w:numId="20">
    <w:abstractNumId w:val="17"/>
  </w:num>
  <w:num w:numId="21">
    <w:abstractNumId w:val="14"/>
  </w:num>
  <w:num w:numId="22">
    <w:abstractNumId w:val="14"/>
  </w:num>
  <w:num w:numId="23">
    <w:abstractNumId w:val="9"/>
  </w:num>
  <w:num w:numId="24">
    <w:abstractNumId w:val="16"/>
  </w:num>
  <w:num w:numId="25">
    <w:abstractNumId w:val="26"/>
  </w:num>
  <w:num w:numId="26">
    <w:abstractNumId w:val="8"/>
  </w:num>
  <w:num w:numId="27">
    <w:abstractNumId w:val="12"/>
  </w:num>
  <w:num w:numId="28">
    <w:abstractNumId w:val="27"/>
  </w:num>
  <w:num w:numId="29">
    <w:abstractNumId w:val="3"/>
  </w:num>
  <w:num w:numId="30">
    <w:abstractNumId w:val="19"/>
  </w:num>
  <w:num w:numId="31">
    <w:abstractNumId w:val="28"/>
  </w:num>
  <w:num w:numId="32">
    <w:abstractNumId w:val="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97435"/>
    <w:rsid w:val="00010C0F"/>
    <w:rsid w:val="00073E88"/>
    <w:rsid w:val="000824E4"/>
    <w:rsid w:val="000906DF"/>
    <w:rsid w:val="00095500"/>
    <w:rsid w:val="000A3BBB"/>
    <w:rsid w:val="000C6DAF"/>
    <w:rsid w:val="000D759F"/>
    <w:rsid w:val="00123AA9"/>
    <w:rsid w:val="00134291"/>
    <w:rsid w:val="0014161E"/>
    <w:rsid w:val="0014275C"/>
    <w:rsid w:val="00153CA5"/>
    <w:rsid w:val="00172557"/>
    <w:rsid w:val="001956E3"/>
    <w:rsid w:val="001D0EDC"/>
    <w:rsid w:val="001D1151"/>
    <w:rsid w:val="001E1334"/>
    <w:rsid w:val="001E5012"/>
    <w:rsid w:val="001E52E9"/>
    <w:rsid w:val="001F2F24"/>
    <w:rsid w:val="002365BF"/>
    <w:rsid w:val="0028062C"/>
    <w:rsid w:val="00281603"/>
    <w:rsid w:val="002E60A2"/>
    <w:rsid w:val="00326D1D"/>
    <w:rsid w:val="00397338"/>
    <w:rsid w:val="003D2B26"/>
    <w:rsid w:val="003F17B1"/>
    <w:rsid w:val="0042510C"/>
    <w:rsid w:val="004372F1"/>
    <w:rsid w:val="004D3C74"/>
    <w:rsid w:val="004E3048"/>
    <w:rsid w:val="004F4571"/>
    <w:rsid w:val="005677BC"/>
    <w:rsid w:val="005D31AF"/>
    <w:rsid w:val="00665FE3"/>
    <w:rsid w:val="0068118A"/>
    <w:rsid w:val="006A17D2"/>
    <w:rsid w:val="006A7C8B"/>
    <w:rsid w:val="006B208C"/>
    <w:rsid w:val="006B59F8"/>
    <w:rsid w:val="00715B34"/>
    <w:rsid w:val="0072502F"/>
    <w:rsid w:val="00726637"/>
    <w:rsid w:val="00752052"/>
    <w:rsid w:val="00761F36"/>
    <w:rsid w:val="00772ADA"/>
    <w:rsid w:val="008355A0"/>
    <w:rsid w:val="00850192"/>
    <w:rsid w:val="00864512"/>
    <w:rsid w:val="00871844"/>
    <w:rsid w:val="008B19F3"/>
    <w:rsid w:val="008F2416"/>
    <w:rsid w:val="00923710"/>
    <w:rsid w:val="00974C1C"/>
    <w:rsid w:val="009B6253"/>
    <w:rsid w:val="009E1BFC"/>
    <w:rsid w:val="00A06FBA"/>
    <w:rsid w:val="00A500E6"/>
    <w:rsid w:val="00A562D6"/>
    <w:rsid w:val="00A754DF"/>
    <w:rsid w:val="00A96DEC"/>
    <w:rsid w:val="00A97DC0"/>
    <w:rsid w:val="00AE7E4F"/>
    <w:rsid w:val="00B134BE"/>
    <w:rsid w:val="00B30D6E"/>
    <w:rsid w:val="00B97435"/>
    <w:rsid w:val="00BA7D0D"/>
    <w:rsid w:val="00BD2FB8"/>
    <w:rsid w:val="00C349D3"/>
    <w:rsid w:val="00C80FC1"/>
    <w:rsid w:val="00CB7251"/>
    <w:rsid w:val="00CE27D6"/>
    <w:rsid w:val="00D06C8B"/>
    <w:rsid w:val="00D86AEC"/>
    <w:rsid w:val="00DC18E9"/>
    <w:rsid w:val="00DE0151"/>
    <w:rsid w:val="00E247F0"/>
    <w:rsid w:val="00E4166F"/>
    <w:rsid w:val="00E41FEA"/>
    <w:rsid w:val="00E44994"/>
    <w:rsid w:val="00E80010"/>
    <w:rsid w:val="00E827A3"/>
    <w:rsid w:val="00EC48B1"/>
    <w:rsid w:val="00EE50A7"/>
    <w:rsid w:val="00EF1577"/>
    <w:rsid w:val="00EF6005"/>
    <w:rsid w:val="00F55827"/>
    <w:rsid w:val="00F913F8"/>
    <w:rsid w:val="00FC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9F3"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81603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603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27D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27D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27D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27D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27D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27D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27D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816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81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28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CE27D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27D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27D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27D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27D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27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2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fej">
    <w:name w:val="header"/>
    <w:basedOn w:val="Norml"/>
    <w:link w:val="lfejChar"/>
    <w:unhideWhenUsed/>
    <w:rsid w:val="00CE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7D6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E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7D6"/>
    <w:rPr>
      <w:lang w:val="en-GB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27D6"/>
    <w:pPr>
      <w:numPr>
        <w:numId w:val="0"/>
      </w:num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E27D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E27D6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E27D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nhideWhenUsed/>
    <w:rsid w:val="00C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27D6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99"/>
    <w:qFormat/>
    <w:rsid w:val="00726637"/>
    <w:pPr>
      <w:ind w:left="720"/>
      <w:contextualSpacing/>
    </w:pPr>
  </w:style>
  <w:style w:type="paragraph" w:customStyle="1" w:styleId="felsorol">
    <w:name w:val="felsorol"/>
    <w:basedOn w:val="Norml"/>
    <w:rsid w:val="009E1BFC"/>
    <w:pPr>
      <w:spacing w:after="120" w:line="240" w:lineRule="auto"/>
      <w:ind w:left="1985" w:hanging="284"/>
      <w:jc w:val="both"/>
    </w:pPr>
    <w:rPr>
      <w:rFonts w:ascii="Arial" w:eastAsia="Times New Roman" w:hAnsi="Arial" w:cs="Times New Roman"/>
      <w:b/>
      <w:color w:val="000000"/>
      <w:sz w:val="24"/>
      <w:szCs w:val="20"/>
      <w:lang w:val="de-D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B6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62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253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6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6253"/>
    <w:rPr>
      <w:b/>
      <w:bCs/>
      <w:sz w:val="20"/>
      <w:szCs w:val="20"/>
      <w:lang w:val="en-GB"/>
    </w:rPr>
  </w:style>
  <w:style w:type="paragraph" w:styleId="NormlWeb">
    <w:name w:val="Normal (Web)"/>
    <w:basedOn w:val="Norml"/>
    <w:uiPriority w:val="99"/>
    <w:rsid w:val="00EF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99"/>
    <w:qFormat/>
    <w:rsid w:val="00EF1577"/>
    <w:rPr>
      <w:rFonts w:cs="Times New Roman"/>
      <w:b/>
      <w:bCs/>
    </w:rPr>
  </w:style>
  <w:style w:type="paragraph" w:customStyle="1" w:styleId="Default">
    <w:name w:val="Default"/>
    <w:uiPriority w:val="99"/>
    <w:rsid w:val="00EF15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81603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603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27D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27D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27D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27D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27D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27D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27D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2816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816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28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816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9"/>
    <w:rsid w:val="00CE27D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27D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27D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27D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27D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27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2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fej">
    <w:name w:val="header"/>
    <w:basedOn w:val="Norml"/>
    <w:link w:val="lfejChar"/>
    <w:unhideWhenUsed/>
    <w:rsid w:val="00CE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7D6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CE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7D6"/>
    <w:rPr>
      <w:lang w:val="en-GB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27D6"/>
    <w:pPr>
      <w:numPr>
        <w:numId w:val="0"/>
      </w:num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E27D6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E27D6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E27D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nhideWhenUsed/>
    <w:rsid w:val="00CE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27D6"/>
    <w:rPr>
      <w:rFonts w:ascii="Tahoma" w:hAnsi="Tahoma" w:cs="Tahoma"/>
      <w:sz w:val="16"/>
      <w:szCs w:val="16"/>
      <w:lang w:val="en-GB"/>
    </w:rPr>
  </w:style>
  <w:style w:type="paragraph" w:styleId="Listaszerbekezds">
    <w:name w:val="List Paragraph"/>
    <w:basedOn w:val="Norml"/>
    <w:uiPriority w:val="99"/>
    <w:qFormat/>
    <w:rsid w:val="00726637"/>
    <w:pPr>
      <w:ind w:left="720"/>
      <w:contextualSpacing/>
    </w:pPr>
  </w:style>
  <w:style w:type="paragraph" w:customStyle="1" w:styleId="felsorol">
    <w:name w:val="felsorol"/>
    <w:basedOn w:val="Norml"/>
    <w:rsid w:val="009E1BFC"/>
    <w:pPr>
      <w:spacing w:after="120" w:line="240" w:lineRule="auto"/>
      <w:ind w:left="1985" w:hanging="284"/>
      <w:jc w:val="both"/>
    </w:pPr>
    <w:rPr>
      <w:rFonts w:ascii="Arial" w:eastAsia="Times New Roman" w:hAnsi="Arial" w:cs="Times New Roman"/>
      <w:b/>
      <w:color w:val="000000"/>
      <w:sz w:val="24"/>
      <w:szCs w:val="20"/>
      <w:lang w:val="de-D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B6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B62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6253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6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6253"/>
    <w:rPr>
      <w:b/>
      <w:bCs/>
      <w:sz w:val="20"/>
      <w:szCs w:val="20"/>
      <w:lang w:val="en-GB"/>
    </w:rPr>
  </w:style>
  <w:style w:type="paragraph" w:styleId="NormlWeb">
    <w:name w:val="Normal (Web)"/>
    <w:basedOn w:val="Norml"/>
    <w:uiPriority w:val="99"/>
    <w:rsid w:val="00EF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99"/>
    <w:qFormat/>
    <w:rsid w:val="00EF1577"/>
    <w:rPr>
      <w:rFonts w:cs="Times New Roman"/>
      <w:b/>
      <w:bCs/>
    </w:rPr>
  </w:style>
  <w:style w:type="paragraph" w:customStyle="1" w:styleId="Default">
    <w:name w:val="Default"/>
    <w:uiPriority w:val="99"/>
    <w:rsid w:val="00EF15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EC31-7E84-4EA2-A143-1B06640E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Gázmár Domán</dc:creator>
  <cp:lastModifiedBy>Várhelyi</cp:lastModifiedBy>
  <cp:revision>3</cp:revision>
  <dcterms:created xsi:type="dcterms:W3CDTF">2015-06-20T08:58:00Z</dcterms:created>
  <dcterms:modified xsi:type="dcterms:W3CDTF">2015-06-20T08:59:00Z</dcterms:modified>
</cp:coreProperties>
</file>